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17" w:rsidRPr="00DA68A3" w:rsidRDefault="0024223C" w:rsidP="0024223C">
      <w:pPr>
        <w:jc w:val="center"/>
        <w:rPr>
          <w:rFonts w:ascii="Arial" w:hAnsi="Arial" w:cs="Arial"/>
          <w:sz w:val="24"/>
          <w:szCs w:val="24"/>
        </w:rPr>
      </w:pPr>
      <w:bookmarkStart w:id="0" w:name="_GoBack"/>
      <w:bookmarkEnd w:id="0"/>
      <w:r>
        <w:rPr>
          <w:rFonts w:ascii="Arial" w:hAnsi="Arial" w:cs="Arial"/>
          <w:noProof/>
          <w:sz w:val="24"/>
          <w:szCs w:val="24"/>
          <w:lang w:eastAsia="es-PR"/>
        </w:rPr>
        <w:drawing>
          <wp:inline distT="0" distB="0" distL="0" distR="0">
            <wp:extent cx="2528454" cy="12642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BDE PMS 1245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8454" cy="1264228"/>
                    </a:xfrm>
                    <a:prstGeom prst="rect">
                      <a:avLst/>
                    </a:prstGeom>
                  </pic:spPr>
                </pic:pic>
              </a:graphicData>
            </a:graphic>
          </wp:inline>
        </w:drawing>
      </w:r>
    </w:p>
    <w:p w:rsidR="006A736B" w:rsidRPr="00DA68A3" w:rsidRDefault="006A736B" w:rsidP="00561BB9">
      <w:pPr>
        <w:jc w:val="both"/>
        <w:rPr>
          <w:rFonts w:ascii="Arial" w:hAnsi="Arial" w:cs="Arial"/>
          <w:sz w:val="24"/>
          <w:szCs w:val="24"/>
        </w:rPr>
      </w:pPr>
    </w:p>
    <w:p w:rsidR="006A736B" w:rsidRPr="00DA68A3" w:rsidRDefault="006A736B" w:rsidP="00561BB9">
      <w:pPr>
        <w:jc w:val="both"/>
        <w:rPr>
          <w:rFonts w:ascii="Arial" w:hAnsi="Arial" w:cs="Arial"/>
          <w:sz w:val="24"/>
          <w:szCs w:val="24"/>
        </w:rPr>
      </w:pPr>
    </w:p>
    <w:p w:rsidR="007D081D" w:rsidRDefault="00561BB9" w:rsidP="00561BB9">
      <w:pPr>
        <w:jc w:val="both"/>
        <w:rPr>
          <w:rFonts w:ascii="Arial" w:hAnsi="Arial" w:cs="Arial"/>
          <w:sz w:val="24"/>
          <w:szCs w:val="24"/>
        </w:rPr>
      </w:pPr>
      <w:r>
        <w:rPr>
          <w:rFonts w:ascii="Arial" w:hAnsi="Arial" w:cs="Arial"/>
          <w:sz w:val="24"/>
          <w:szCs w:val="24"/>
        </w:rPr>
        <w:t>14</w:t>
      </w:r>
      <w:r w:rsidR="00050429">
        <w:rPr>
          <w:rFonts w:ascii="Arial" w:hAnsi="Arial" w:cs="Arial"/>
          <w:sz w:val="24"/>
          <w:szCs w:val="24"/>
        </w:rPr>
        <w:t xml:space="preserve"> de </w:t>
      </w:r>
      <w:r>
        <w:rPr>
          <w:rFonts w:ascii="Arial" w:hAnsi="Arial" w:cs="Arial"/>
          <w:sz w:val="24"/>
          <w:szCs w:val="24"/>
        </w:rPr>
        <w:t>octubre</w:t>
      </w:r>
      <w:r w:rsidR="00050429">
        <w:rPr>
          <w:rFonts w:ascii="Arial" w:hAnsi="Arial" w:cs="Arial"/>
          <w:sz w:val="24"/>
          <w:szCs w:val="24"/>
        </w:rPr>
        <w:t xml:space="preserve"> de 2016</w:t>
      </w:r>
    </w:p>
    <w:p w:rsidR="00693F72" w:rsidRPr="00DA68A3" w:rsidRDefault="00693F72" w:rsidP="00561BB9">
      <w:pPr>
        <w:jc w:val="both"/>
        <w:rPr>
          <w:rFonts w:ascii="Arial" w:hAnsi="Arial" w:cs="Arial"/>
          <w:sz w:val="24"/>
          <w:szCs w:val="24"/>
        </w:rPr>
      </w:pPr>
    </w:p>
    <w:p w:rsidR="007D081D" w:rsidRPr="00DA68A3" w:rsidRDefault="007D081D" w:rsidP="00561BB9">
      <w:pPr>
        <w:jc w:val="both"/>
        <w:rPr>
          <w:rFonts w:ascii="Arial" w:hAnsi="Arial" w:cs="Arial"/>
          <w:sz w:val="24"/>
          <w:szCs w:val="24"/>
        </w:rPr>
      </w:pPr>
    </w:p>
    <w:p w:rsidR="007D081D" w:rsidRPr="005E17F9" w:rsidRDefault="007D081D" w:rsidP="00561BB9">
      <w:pPr>
        <w:jc w:val="both"/>
        <w:rPr>
          <w:rFonts w:ascii="Arial" w:hAnsi="Arial" w:cs="Arial"/>
          <w:sz w:val="24"/>
          <w:szCs w:val="24"/>
        </w:rPr>
      </w:pPr>
      <w:r w:rsidRPr="005E17F9">
        <w:rPr>
          <w:rFonts w:ascii="Arial" w:hAnsi="Arial" w:cs="Arial"/>
          <w:sz w:val="24"/>
          <w:szCs w:val="24"/>
        </w:rPr>
        <w:t xml:space="preserve"> </w:t>
      </w:r>
    </w:p>
    <w:p w:rsidR="007D081D" w:rsidRPr="00F97354" w:rsidRDefault="007D081D" w:rsidP="00561BB9">
      <w:pPr>
        <w:jc w:val="both"/>
        <w:rPr>
          <w:rFonts w:ascii="Arial" w:hAnsi="Arial" w:cs="Arial"/>
          <w:sz w:val="24"/>
          <w:szCs w:val="24"/>
        </w:rPr>
      </w:pPr>
      <w:proofErr w:type="spellStart"/>
      <w:r w:rsidRPr="00F97354">
        <w:rPr>
          <w:rFonts w:ascii="Arial" w:hAnsi="Arial" w:cs="Arial"/>
          <w:sz w:val="24"/>
          <w:szCs w:val="24"/>
        </w:rPr>
        <w:t>Hon</w:t>
      </w:r>
      <w:proofErr w:type="spellEnd"/>
      <w:r w:rsidRPr="00F97354">
        <w:rPr>
          <w:rFonts w:ascii="Arial" w:hAnsi="Arial" w:cs="Arial"/>
          <w:sz w:val="24"/>
          <w:szCs w:val="24"/>
        </w:rPr>
        <w:t xml:space="preserve">. </w:t>
      </w:r>
      <w:r w:rsidR="00050429">
        <w:rPr>
          <w:rFonts w:ascii="Arial" w:hAnsi="Arial" w:cs="Arial"/>
          <w:sz w:val="24"/>
          <w:szCs w:val="24"/>
        </w:rPr>
        <w:t xml:space="preserve">Víctor A. Suárez Meléndez </w:t>
      </w:r>
      <w:r w:rsidR="0092780B" w:rsidRPr="00F97354">
        <w:rPr>
          <w:rFonts w:ascii="Arial" w:hAnsi="Arial" w:cs="Arial"/>
          <w:sz w:val="24"/>
          <w:szCs w:val="24"/>
        </w:rPr>
        <w:t xml:space="preserve"> </w:t>
      </w:r>
      <w:r w:rsidR="00E9364E" w:rsidRPr="00F97354">
        <w:rPr>
          <w:rFonts w:ascii="Arial" w:hAnsi="Arial" w:cs="Arial"/>
          <w:sz w:val="24"/>
          <w:szCs w:val="24"/>
        </w:rPr>
        <w:t xml:space="preserve"> </w:t>
      </w:r>
      <w:r w:rsidR="0077256F" w:rsidRPr="00F97354">
        <w:rPr>
          <w:rFonts w:ascii="Arial" w:hAnsi="Arial" w:cs="Arial"/>
          <w:sz w:val="24"/>
          <w:szCs w:val="24"/>
        </w:rPr>
        <w:t xml:space="preserve"> </w:t>
      </w:r>
      <w:r w:rsidRPr="00F97354">
        <w:rPr>
          <w:rFonts w:ascii="Arial" w:hAnsi="Arial" w:cs="Arial"/>
          <w:sz w:val="24"/>
          <w:szCs w:val="24"/>
        </w:rPr>
        <w:t xml:space="preserve"> </w:t>
      </w:r>
    </w:p>
    <w:p w:rsidR="00CC30AA" w:rsidRPr="0092780B" w:rsidRDefault="00050429" w:rsidP="00561BB9">
      <w:pPr>
        <w:jc w:val="both"/>
        <w:rPr>
          <w:rFonts w:ascii="Arial" w:hAnsi="Arial" w:cs="Arial"/>
          <w:sz w:val="24"/>
          <w:szCs w:val="24"/>
        </w:rPr>
      </w:pPr>
      <w:r>
        <w:rPr>
          <w:rFonts w:ascii="Arial" w:hAnsi="Arial" w:cs="Arial"/>
          <w:sz w:val="24"/>
          <w:szCs w:val="24"/>
        </w:rPr>
        <w:t xml:space="preserve">Secretario </w:t>
      </w:r>
    </w:p>
    <w:p w:rsidR="007D081D" w:rsidRDefault="00050429" w:rsidP="00561BB9">
      <w:pPr>
        <w:jc w:val="both"/>
        <w:rPr>
          <w:rFonts w:ascii="Arial" w:hAnsi="Arial" w:cs="Arial"/>
          <w:sz w:val="24"/>
          <w:szCs w:val="24"/>
        </w:rPr>
      </w:pPr>
      <w:r>
        <w:rPr>
          <w:rFonts w:ascii="Arial" w:hAnsi="Arial" w:cs="Arial"/>
          <w:sz w:val="24"/>
          <w:szCs w:val="24"/>
        </w:rPr>
        <w:t xml:space="preserve">Departamento de Estado </w:t>
      </w:r>
    </w:p>
    <w:p w:rsidR="00050429" w:rsidRPr="00DA68A3" w:rsidRDefault="00050429" w:rsidP="00561BB9">
      <w:pPr>
        <w:jc w:val="both"/>
        <w:rPr>
          <w:rFonts w:ascii="Arial" w:hAnsi="Arial" w:cs="Arial"/>
          <w:sz w:val="24"/>
          <w:szCs w:val="24"/>
        </w:rPr>
      </w:pPr>
      <w:r>
        <w:rPr>
          <w:rFonts w:ascii="Arial" w:hAnsi="Arial" w:cs="Arial"/>
          <w:sz w:val="24"/>
          <w:szCs w:val="24"/>
        </w:rPr>
        <w:t>PO Box 9023271</w:t>
      </w:r>
    </w:p>
    <w:p w:rsidR="007D081D" w:rsidRPr="00DA68A3" w:rsidRDefault="00CF3B02" w:rsidP="00561BB9">
      <w:pPr>
        <w:jc w:val="both"/>
        <w:rPr>
          <w:rFonts w:ascii="Arial" w:hAnsi="Arial" w:cs="Arial"/>
          <w:sz w:val="24"/>
          <w:szCs w:val="24"/>
        </w:rPr>
      </w:pPr>
      <w:r w:rsidRPr="00DA68A3">
        <w:rPr>
          <w:rFonts w:ascii="Arial" w:hAnsi="Arial" w:cs="Arial"/>
          <w:sz w:val="24"/>
          <w:szCs w:val="24"/>
        </w:rPr>
        <w:t xml:space="preserve">San Juan, Puerto Rico </w:t>
      </w:r>
      <w:r w:rsidR="007D081D" w:rsidRPr="00DA68A3">
        <w:rPr>
          <w:rFonts w:ascii="Arial" w:hAnsi="Arial" w:cs="Arial"/>
          <w:sz w:val="24"/>
          <w:szCs w:val="24"/>
        </w:rPr>
        <w:t>00902</w:t>
      </w:r>
      <w:r w:rsidR="00050429">
        <w:rPr>
          <w:rFonts w:ascii="Arial" w:hAnsi="Arial" w:cs="Arial"/>
          <w:sz w:val="24"/>
          <w:szCs w:val="24"/>
        </w:rPr>
        <w:t>-3271</w:t>
      </w:r>
    </w:p>
    <w:p w:rsidR="00050429" w:rsidRPr="00DA68A3" w:rsidRDefault="00050429" w:rsidP="00561BB9">
      <w:pPr>
        <w:jc w:val="both"/>
        <w:rPr>
          <w:rFonts w:ascii="Arial" w:hAnsi="Arial" w:cs="Arial"/>
          <w:sz w:val="24"/>
          <w:szCs w:val="24"/>
        </w:rPr>
      </w:pPr>
    </w:p>
    <w:p w:rsidR="007D081D" w:rsidRDefault="007D081D" w:rsidP="00561BB9">
      <w:pPr>
        <w:jc w:val="both"/>
        <w:rPr>
          <w:rFonts w:ascii="Arial" w:hAnsi="Arial" w:cs="Arial"/>
          <w:sz w:val="24"/>
          <w:szCs w:val="24"/>
        </w:rPr>
      </w:pPr>
      <w:r w:rsidRPr="00DA68A3">
        <w:rPr>
          <w:rFonts w:ascii="Arial" w:hAnsi="Arial" w:cs="Arial"/>
          <w:sz w:val="24"/>
          <w:szCs w:val="24"/>
        </w:rPr>
        <w:t>Estimad</w:t>
      </w:r>
      <w:r w:rsidR="00CC30AA" w:rsidRPr="00DA68A3">
        <w:rPr>
          <w:rFonts w:ascii="Arial" w:hAnsi="Arial" w:cs="Arial"/>
          <w:sz w:val="24"/>
          <w:szCs w:val="24"/>
        </w:rPr>
        <w:t>o</w:t>
      </w:r>
      <w:r w:rsidRPr="00DA68A3">
        <w:rPr>
          <w:rFonts w:ascii="Arial" w:hAnsi="Arial" w:cs="Arial"/>
          <w:sz w:val="24"/>
          <w:szCs w:val="24"/>
        </w:rPr>
        <w:t xml:space="preserve"> </w:t>
      </w:r>
      <w:r w:rsidR="00693F72">
        <w:rPr>
          <w:rFonts w:ascii="Arial" w:hAnsi="Arial" w:cs="Arial"/>
          <w:sz w:val="24"/>
          <w:szCs w:val="24"/>
        </w:rPr>
        <w:t xml:space="preserve">señor </w:t>
      </w:r>
      <w:r w:rsidR="00050429">
        <w:rPr>
          <w:rFonts w:ascii="Arial" w:hAnsi="Arial" w:cs="Arial"/>
          <w:sz w:val="24"/>
          <w:szCs w:val="24"/>
        </w:rPr>
        <w:t>Secretario</w:t>
      </w:r>
      <w:r w:rsidRPr="00DA68A3">
        <w:rPr>
          <w:rFonts w:ascii="Arial" w:hAnsi="Arial" w:cs="Arial"/>
          <w:sz w:val="24"/>
          <w:szCs w:val="24"/>
        </w:rPr>
        <w:t>:</w:t>
      </w:r>
    </w:p>
    <w:p w:rsidR="00050429" w:rsidRDefault="00050429" w:rsidP="00561BB9">
      <w:pPr>
        <w:jc w:val="both"/>
        <w:rPr>
          <w:rFonts w:ascii="Arial" w:hAnsi="Arial" w:cs="Arial"/>
          <w:sz w:val="24"/>
          <w:szCs w:val="24"/>
        </w:rPr>
      </w:pPr>
    </w:p>
    <w:p w:rsidR="00050429" w:rsidRPr="00DA68A3" w:rsidRDefault="00050429" w:rsidP="00561BB9">
      <w:pPr>
        <w:jc w:val="both"/>
        <w:rPr>
          <w:rFonts w:ascii="Arial" w:hAnsi="Arial" w:cs="Arial"/>
          <w:sz w:val="24"/>
          <w:szCs w:val="24"/>
        </w:rPr>
      </w:pPr>
      <w:r>
        <w:rPr>
          <w:rFonts w:ascii="Arial" w:hAnsi="Arial" w:cs="Arial"/>
          <w:sz w:val="24"/>
          <w:szCs w:val="24"/>
        </w:rPr>
        <w:tab/>
      </w:r>
      <w:r w:rsidRPr="00050429">
        <w:rPr>
          <w:rFonts w:ascii="Arial" w:hAnsi="Arial" w:cs="Arial"/>
          <w:b/>
          <w:sz w:val="24"/>
          <w:szCs w:val="24"/>
        </w:rPr>
        <w:t>RE</w:t>
      </w:r>
      <w:proofErr w:type="gramStart"/>
      <w:r w:rsidRPr="00050429">
        <w:rPr>
          <w:rFonts w:ascii="Arial" w:hAnsi="Arial" w:cs="Arial"/>
          <w:b/>
          <w:sz w:val="24"/>
          <w:szCs w:val="24"/>
        </w:rPr>
        <w:t>:</w:t>
      </w:r>
      <w:r>
        <w:rPr>
          <w:rFonts w:ascii="Arial" w:hAnsi="Arial" w:cs="Arial"/>
          <w:sz w:val="24"/>
          <w:szCs w:val="24"/>
        </w:rPr>
        <w:t xml:space="preserve">  </w:t>
      </w:r>
      <w:r w:rsidRPr="00050429">
        <w:rPr>
          <w:rFonts w:ascii="Arial" w:hAnsi="Arial" w:cs="Arial"/>
          <w:b/>
          <w:sz w:val="24"/>
          <w:szCs w:val="24"/>
        </w:rPr>
        <w:t>PONENCIA</w:t>
      </w:r>
      <w:proofErr w:type="gramEnd"/>
      <w:r w:rsidRPr="00050429">
        <w:rPr>
          <w:rFonts w:ascii="Arial" w:hAnsi="Arial" w:cs="Arial"/>
          <w:b/>
          <w:sz w:val="24"/>
          <w:szCs w:val="24"/>
        </w:rPr>
        <w:t xml:space="preserve"> PARA EL PROCESO DE TRANSICIÓN</w:t>
      </w:r>
      <w:r>
        <w:rPr>
          <w:rFonts w:ascii="Arial" w:hAnsi="Arial" w:cs="Arial"/>
          <w:sz w:val="24"/>
          <w:szCs w:val="24"/>
        </w:rPr>
        <w:t xml:space="preserve"> </w:t>
      </w:r>
    </w:p>
    <w:p w:rsidR="00D14DEE" w:rsidRPr="00DA68A3" w:rsidRDefault="00D14DEE" w:rsidP="00561BB9">
      <w:pPr>
        <w:jc w:val="both"/>
        <w:rPr>
          <w:rFonts w:ascii="Arial" w:hAnsi="Arial" w:cs="Arial"/>
          <w:sz w:val="24"/>
          <w:szCs w:val="24"/>
        </w:rPr>
      </w:pPr>
    </w:p>
    <w:p w:rsidR="00074710" w:rsidRDefault="00074710" w:rsidP="00561BB9">
      <w:pPr>
        <w:jc w:val="both"/>
        <w:rPr>
          <w:rFonts w:ascii="Arial" w:hAnsi="Arial" w:cs="Arial"/>
          <w:sz w:val="24"/>
          <w:szCs w:val="24"/>
        </w:rPr>
      </w:pPr>
      <w:r>
        <w:rPr>
          <w:rFonts w:ascii="Arial" w:hAnsi="Arial" w:cs="Arial"/>
          <w:sz w:val="24"/>
          <w:szCs w:val="24"/>
        </w:rPr>
        <w:t>El Banco de Desarrollo Económico para Puerto Rico,</w:t>
      </w:r>
      <w:r w:rsidRPr="00074710">
        <w:rPr>
          <w:rFonts w:ascii="Arial" w:hAnsi="Arial" w:cs="Arial"/>
          <w:sz w:val="24"/>
          <w:szCs w:val="24"/>
        </w:rPr>
        <w:t xml:space="preserve"> una corporación pública del Estado Libre Asociado de Puerto Rico</w:t>
      </w:r>
      <w:r>
        <w:rPr>
          <w:rFonts w:ascii="Arial" w:hAnsi="Arial" w:cs="Arial"/>
          <w:sz w:val="24"/>
          <w:szCs w:val="24"/>
        </w:rPr>
        <w:t>, cuya</w:t>
      </w:r>
      <w:r w:rsidRPr="00074710">
        <w:rPr>
          <w:rFonts w:ascii="Arial" w:hAnsi="Arial" w:cs="Arial"/>
          <w:sz w:val="24"/>
          <w:szCs w:val="24"/>
        </w:rPr>
        <w:t xml:space="preserve"> misión principal es facilitar productos financieros a p</w:t>
      </w:r>
      <w:r>
        <w:rPr>
          <w:rFonts w:ascii="Arial" w:hAnsi="Arial" w:cs="Arial"/>
          <w:sz w:val="24"/>
          <w:szCs w:val="24"/>
        </w:rPr>
        <w:t>equeños y medianos empresarios, presenta</w:t>
      </w:r>
      <w:r w:rsidR="00050429">
        <w:rPr>
          <w:rFonts w:ascii="Arial" w:hAnsi="Arial" w:cs="Arial"/>
          <w:sz w:val="24"/>
          <w:szCs w:val="24"/>
        </w:rPr>
        <w:t xml:space="preserve"> ante el Departamento de Estado de Puerto Rico, un resumen de los aspectos </w:t>
      </w:r>
      <w:r>
        <w:rPr>
          <w:rFonts w:ascii="Arial" w:hAnsi="Arial" w:cs="Arial"/>
          <w:sz w:val="24"/>
          <w:szCs w:val="24"/>
        </w:rPr>
        <w:t xml:space="preserve">y renglones </w:t>
      </w:r>
      <w:r w:rsidR="00050429">
        <w:rPr>
          <w:rFonts w:ascii="Arial" w:hAnsi="Arial" w:cs="Arial"/>
          <w:sz w:val="24"/>
          <w:szCs w:val="24"/>
        </w:rPr>
        <w:t xml:space="preserve">que forman parte del proceso de transición. </w:t>
      </w:r>
    </w:p>
    <w:p w:rsidR="00074710" w:rsidRDefault="00074710" w:rsidP="00561BB9">
      <w:pPr>
        <w:jc w:val="both"/>
        <w:rPr>
          <w:rFonts w:ascii="Arial" w:hAnsi="Arial" w:cs="Arial"/>
          <w:sz w:val="24"/>
          <w:szCs w:val="24"/>
        </w:rPr>
      </w:pPr>
    </w:p>
    <w:p w:rsidR="00D14DEE" w:rsidRPr="00EC722A" w:rsidRDefault="00BA5A01" w:rsidP="00561BB9">
      <w:pPr>
        <w:jc w:val="both"/>
        <w:rPr>
          <w:rFonts w:ascii="Arial" w:hAnsi="Arial" w:cs="Arial"/>
          <w:b/>
          <w:sz w:val="24"/>
          <w:szCs w:val="24"/>
          <w:u w:val="single"/>
        </w:rPr>
      </w:pPr>
      <w:r w:rsidRPr="00EC722A">
        <w:rPr>
          <w:rFonts w:ascii="Arial" w:hAnsi="Arial" w:cs="Arial"/>
          <w:b/>
          <w:sz w:val="24"/>
          <w:szCs w:val="24"/>
          <w:u w:val="single"/>
        </w:rPr>
        <w:t>L</w:t>
      </w:r>
      <w:r w:rsidR="004A3F08">
        <w:rPr>
          <w:rFonts w:ascii="Arial" w:hAnsi="Arial" w:cs="Arial"/>
          <w:b/>
          <w:sz w:val="24"/>
          <w:szCs w:val="24"/>
          <w:u w:val="single"/>
        </w:rPr>
        <w:t xml:space="preserve">OGROS </w:t>
      </w:r>
    </w:p>
    <w:p w:rsidR="00BA5A01" w:rsidRDefault="00BA5A01" w:rsidP="00561BB9">
      <w:pPr>
        <w:jc w:val="both"/>
        <w:rPr>
          <w:rFonts w:ascii="Arial" w:hAnsi="Arial" w:cs="Arial"/>
          <w:sz w:val="24"/>
          <w:szCs w:val="24"/>
        </w:rPr>
      </w:pPr>
    </w:p>
    <w:p w:rsidR="00EC722A" w:rsidRPr="006B387D" w:rsidRDefault="00EC722A" w:rsidP="00561BB9">
      <w:pPr>
        <w:contextualSpacing/>
        <w:jc w:val="both"/>
        <w:rPr>
          <w:rFonts w:ascii="Arial" w:hAnsi="Arial" w:cs="Arial"/>
          <w:b/>
          <w:sz w:val="24"/>
          <w:szCs w:val="24"/>
          <w:u w:val="single"/>
        </w:rPr>
      </w:pPr>
      <w:r w:rsidRPr="006B387D">
        <w:rPr>
          <w:rFonts w:ascii="Arial" w:hAnsi="Arial" w:cs="Arial"/>
          <w:b/>
          <w:sz w:val="24"/>
          <w:szCs w:val="24"/>
          <w:u w:val="single"/>
        </w:rPr>
        <w:t>Tecnología/Transparencia</w:t>
      </w: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Nuestros empleados desarrollaron la primera y única Solicitud de Préstamo Comercial On-Line lo que representó ahorros de aproximadamente $300,000.</w:t>
      </w:r>
    </w:p>
    <w:p w:rsidR="00EC722A" w:rsidRPr="00EC722A" w:rsidRDefault="00EC722A" w:rsidP="00561BB9">
      <w:pPr>
        <w:pStyle w:val="ListParagraph"/>
        <w:ind w:left="1080"/>
        <w:jc w:val="both"/>
        <w:rPr>
          <w:rFonts w:ascii="Arial" w:hAnsi="Arial" w:cs="Arial"/>
          <w:sz w:val="24"/>
          <w:szCs w:val="24"/>
        </w:rPr>
      </w:pP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Se instalaron métricas para fiscalizar el tiempo de procesamiento de la solicitud, se lo revelamos a nuestros clientes y logramos un 18% en reducción de tiempo.</w:t>
      </w:r>
    </w:p>
    <w:p w:rsidR="00561BB9" w:rsidRDefault="00561BB9" w:rsidP="00561BB9">
      <w:pPr>
        <w:contextualSpacing/>
        <w:jc w:val="both"/>
        <w:rPr>
          <w:rFonts w:ascii="Arial" w:hAnsi="Arial" w:cs="Arial"/>
          <w:b/>
          <w:sz w:val="24"/>
          <w:szCs w:val="24"/>
          <w:u w:val="single"/>
        </w:rPr>
      </w:pPr>
    </w:p>
    <w:p w:rsidR="00EC722A" w:rsidRPr="006B387D" w:rsidRDefault="00EC722A" w:rsidP="00561BB9">
      <w:pPr>
        <w:contextualSpacing/>
        <w:jc w:val="both"/>
        <w:rPr>
          <w:rFonts w:ascii="Arial" w:hAnsi="Arial" w:cs="Arial"/>
          <w:b/>
          <w:sz w:val="28"/>
          <w:szCs w:val="28"/>
          <w:u w:val="single"/>
        </w:rPr>
      </w:pPr>
      <w:r w:rsidRPr="006B387D">
        <w:rPr>
          <w:rFonts w:ascii="Arial" w:hAnsi="Arial" w:cs="Arial"/>
          <w:b/>
          <w:sz w:val="24"/>
          <w:szCs w:val="24"/>
          <w:u w:val="single"/>
        </w:rPr>
        <w:t>Capital Humano</w:t>
      </w: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Se implementaron iniciativas proactivas en la administración de los préstamos, cobro preventivo y métodos más rigurosos en el análisis de</w:t>
      </w:r>
      <w:r w:rsidRPr="00EC722A">
        <w:rPr>
          <w:rFonts w:ascii="Arial" w:hAnsi="Arial" w:cs="Arial"/>
          <w:sz w:val="28"/>
          <w:szCs w:val="28"/>
        </w:rPr>
        <w:t xml:space="preserve"> </w:t>
      </w:r>
      <w:r w:rsidRPr="00EC722A">
        <w:rPr>
          <w:rFonts w:ascii="Arial" w:hAnsi="Arial" w:cs="Arial"/>
          <w:sz w:val="24"/>
          <w:szCs w:val="24"/>
        </w:rPr>
        <w:t xml:space="preserve">crédito, logrando reducciones de $37 millones en pérdidas y de 4% de morosidad promedio, cuando comparamos el cuatrienio anterior con el presente. </w:t>
      </w:r>
    </w:p>
    <w:p w:rsidR="00EC722A" w:rsidRPr="00EC722A" w:rsidRDefault="00EC722A" w:rsidP="00561BB9">
      <w:pPr>
        <w:pStyle w:val="ListParagraph"/>
        <w:ind w:left="1080"/>
        <w:jc w:val="both"/>
        <w:rPr>
          <w:rFonts w:ascii="Arial" w:hAnsi="Arial" w:cs="Arial"/>
          <w:sz w:val="24"/>
          <w:szCs w:val="24"/>
        </w:rPr>
      </w:pP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 xml:space="preserve">Hemos trabajado en el diseño e implantación de estrategias para aprovechar al máximo la autoridad, talentos, experiencia y preparación </w:t>
      </w:r>
      <w:r w:rsidRPr="00EC722A">
        <w:rPr>
          <w:rFonts w:ascii="Arial" w:hAnsi="Arial" w:cs="Arial"/>
          <w:sz w:val="24"/>
          <w:szCs w:val="24"/>
        </w:rPr>
        <w:lastRenderedPageBreak/>
        <w:t>académica del capital humano del Banco.  En la selección del personal para puestos o tareas, hemos tomado en consideración estudios científicos de perfil, dentro del marco legal aplicable, de manera que aprovechamos al máximo los talentos de los empleados del Banco, obteniendo así, ahorros en costos en reclutamiento de personal especializado y sofisticado.  Además, se distribuyó (dispersó) la representación ejecutiva en los Comités decisionales, evitando así la concentración de autoridad en un mismo grupo de miembros y procurando mayor objetividad en las decisiones bancarias que impactan dos o más comités. Lo anterior, aumentó la cantidad de tiempo disponible para que los Vicepresidentes Ejecutivos atiendan sus Departamentos, casos y clientela, así como el tiempo para apoyar al Presidente en su tarea de representar al Banco en distintas actividades que requieran presencia ejecutiva.</w:t>
      </w:r>
    </w:p>
    <w:p w:rsidR="00EC722A" w:rsidRPr="00EC722A" w:rsidRDefault="00EC722A" w:rsidP="00561BB9">
      <w:pPr>
        <w:pStyle w:val="ListParagraph"/>
        <w:ind w:left="1080"/>
        <w:jc w:val="both"/>
        <w:rPr>
          <w:rFonts w:ascii="Arial" w:hAnsi="Arial" w:cs="Arial"/>
          <w:sz w:val="24"/>
          <w:szCs w:val="24"/>
        </w:rPr>
      </w:pPr>
    </w:p>
    <w:p w:rsidR="00EC722A" w:rsidRPr="00EC722A" w:rsidRDefault="00EC722A" w:rsidP="00561BB9">
      <w:pPr>
        <w:pStyle w:val="ListParagraph"/>
        <w:numPr>
          <w:ilvl w:val="0"/>
          <w:numId w:val="49"/>
        </w:numPr>
        <w:jc w:val="both"/>
        <w:rPr>
          <w:rFonts w:ascii="Arial" w:hAnsi="Arial" w:cs="Arial"/>
          <w:sz w:val="24"/>
          <w:szCs w:val="24"/>
        </w:rPr>
      </w:pPr>
      <w:r w:rsidRPr="00EC722A">
        <w:rPr>
          <w:rFonts w:ascii="Arial" w:hAnsi="Arial" w:cs="Arial"/>
          <w:sz w:val="24"/>
          <w:szCs w:val="24"/>
        </w:rPr>
        <w:t xml:space="preserve">El Banco mantiene en puestos ejecutivos de confianza, a gerentes y supervisores, quienes son empleados de carrera de su plantilla existente.  El ahorro presupuestario, ha fluctuado entre 31 y 33% por periodo fiscal, equivalente a aproximadamente $400,000, al ser utilizado capital humano interno del Banco.  Esto, evitó gastos contra las partidas de adiestramiento a nuevo personal.  Además, aumentó el nivel de compromiso y participación de los empleados. </w:t>
      </w:r>
    </w:p>
    <w:p w:rsidR="00EC722A" w:rsidRPr="00EC722A" w:rsidRDefault="00EC722A" w:rsidP="00561BB9">
      <w:pPr>
        <w:pStyle w:val="ListParagraph"/>
        <w:ind w:left="1080"/>
        <w:jc w:val="both"/>
        <w:rPr>
          <w:rFonts w:ascii="Arial" w:hAnsi="Arial" w:cs="Arial"/>
          <w:sz w:val="24"/>
          <w:szCs w:val="24"/>
        </w:rPr>
      </w:pPr>
    </w:p>
    <w:p w:rsidR="00EC722A" w:rsidRPr="00EC722A" w:rsidRDefault="00EC722A" w:rsidP="00561BB9">
      <w:pPr>
        <w:pStyle w:val="ListParagraph"/>
        <w:numPr>
          <w:ilvl w:val="0"/>
          <w:numId w:val="49"/>
        </w:numPr>
        <w:jc w:val="both"/>
        <w:rPr>
          <w:rFonts w:ascii="Arial" w:hAnsi="Arial" w:cs="Arial"/>
          <w:sz w:val="24"/>
          <w:szCs w:val="24"/>
        </w:rPr>
      </w:pPr>
      <w:r w:rsidRPr="00EC722A">
        <w:rPr>
          <w:rFonts w:ascii="Arial" w:hAnsi="Arial" w:cs="Arial"/>
          <w:sz w:val="24"/>
          <w:szCs w:val="24"/>
        </w:rPr>
        <w:t xml:space="preserve">Sin recurrir a despidos ni afectar los servicios, se redujo la plantilla de empleados desde el 2012 al 2016 de 142 a 119, equivalente a un 16%, mediante la congelación de puestos, mecanización de procesos y redistribución de los recursos humanos hacia otras áreas críticas. </w:t>
      </w:r>
    </w:p>
    <w:p w:rsidR="00EC722A" w:rsidRDefault="00EC722A" w:rsidP="00561BB9">
      <w:pPr>
        <w:pStyle w:val="ListParagraph"/>
        <w:ind w:left="1080"/>
        <w:jc w:val="both"/>
        <w:rPr>
          <w:rFonts w:ascii="Arial" w:hAnsi="Arial" w:cs="Arial"/>
          <w:sz w:val="28"/>
          <w:szCs w:val="28"/>
        </w:rPr>
      </w:pPr>
    </w:p>
    <w:p w:rsidR="00EC722A" w:rsidRPr="006B387D" w:rsidRDefault="00EC722A" w:rsidP="00561BB9">
      <w:pPr>
        <w:contextualSpacing/>
        <w:jc w:val="both"/>
        <w:rPr>
          <w:rFonts w:ascii="Arial" w:hAnsi="Arial" w:cs="Arial"/>
          <w:b/>
          <w:sz w:val="28"/>
          <w:szCs w:val="28"/>
          <w:u w:val="single"/>
        </w:rPr>
      </w:pPr>
      <w:r w:rsidRPr="006B387D">
        <w:rPr>
          <w:rFonts w:ascii="Arial" w:hAnsi="Arial" w:cs="Arial"/>
          <w:b/>
          <w:sz w:val="24"/>
          <w:szCs w:val="24"/>
          <w:u w:val="single"/>
        </w:rPr>
        <w:t xml:space="preserve">Reinvención </w:t>
      </w:r>
    </w:p>
    <w:p w:rsidR="00EC722A" w:rsidRPr="00EC722A" w:rsidRDefault="00EC722A" w:rsidP="00561BB9">
      <w:pPr>
        <w:pStyle w:val="ListParagraph"/>
        <w:numPr>
          <w:ilvl w:val="0"/>
          <w:numId w:val="49"/>
        </w:numPr>
        <w:jc w:val="both"/>
        <w:rPr>
          <w:rFonts w:ascii="Arial" w:hAnsi="Arial" w:cs="Arial"/>
          <w:sz w:val="24"/>
          <w:szCs w:val="24"/>
        </w:rPr>
      </w:pPr>
      <w:r w:rsidRPr="00EC722A">
        <w:rPr>
          <w:rFonts w:ascii="Arial" w:hAnsi="Arial" w:cs="Arial"/>
          <w:sz w:val="24"/>
          <w:szCs w:val="24"/>
        </w:rPr>
        <w:t>Nos convertimos en la primera corporación pública en obtener una licencia de la Oficina del Comisionado de Seguros para operar como Productor, ampliando nuestro menú de productos y diversificando la captación de ingresos.</w:t>
      </w:r>
    </w:p>
    <w:p w:rsidR="00EC722A" w:rsidRDefault="00EC722A" w:rsidP="00561BB9">
      <w:pPr>
        <w:pStyle w:val="ListParagraph"/>
        <w:ind w:left="1080"/>
        <w:jc w:val="both"/>
        <w:rPr>
          <w:rFonts w:ascii="Arial" w:hAnsi="Arial" w:cs="Arial"/>
          <w:sz w:val="28"/>
          <w:szCs w:val="28"/>
        </w:rPr>
      </w:pP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 xml:space="preserve">Hemos liderado y participado en actividades de interés a las pequeñas y medianas empresas. En octubre de 2015 celebramos el Primer Congreso de Banca Comercial Latinoamericana.  A los asistentes, más de 300 personas, se les informó de las oportunidades de acceso a capital y de financiamiento que hay en el mercado más allá de un préstamo comercial tradicional o de una línea de crédito. El evento contó con la participación de los presidentes de bancos de desarrollo económico en América Latina (Colombia, Panamá, Chile y México), quienes hablaron de los desafíos que han tenido las pequeñas y medianas empresas en sus países y como los bancos que representan han tenido un rol de importancia en el desarrollo de éstas. </w:t>
      </w:r>
    </w:p>
    <w:p w:rsidR="00561BB9" w:rsidRDefault="00561BB9" w:rsidP="00561BB9">
      <w:pPr>
        <w:contextualSpacing/>
        <w:jc w:val="both"/>
        <w:rPr>
          <w:rFonts w:ascii="Arial" w:hAnsi="Arial" w:cs="Arial"/>
          <w:b/>
          <w:sz w:val="24"/>
          <w:szCs w:val="24"/>
          <w:u w:val="single"/>
        </w:rPr>
      </w:pPr>
    </w:p>
    <w:p w:rsidR="00561BB9" w:rsidRDefault="00561BB9" w:rsidP="00561BB9">
      <w:pPr>
        <w:contextualSpacing/>
        <w:jc w:val="both"/>
        <w:rPr>
          <w:rFonts w:ascii="Arial" w:hAnsi="Arial" w:cs="Arial"/>
          <w:b/>
          <w:sz w:val="24"/>
          <w:szCs w:val="24"/>
          <w:u w:val="single"/>
        </w:rPr>
      </w:pPr>
    </w:p>
    <w:p w:rsidR="00EC722A" w:rsidRPr="006B387D" w:rsidRDefault="00EC722A" w:rsidP="00561BB9">
      <w:pPr>
        <w:contextualSpacing/>
        <w:jc w:val="both"/>
        <w:rPr>
          <w:rFonts w:ascii="Arial" w:hAnsi="Arial" w:cs="Arial"/>
          <w:b/>
          <w:sz w:val="24"/>
          <w:szCs w:val="24"/>
        </w:rPr>
      </w:pPr>
      <w:r w:rsidRPr="006B387D">
        <w:rPr>
          <w:rFonts w:ascii="Arial" w:hAnsi="Arial" w:cs="Arial"/>
          <w:b/>
          <w:sz w:val="24"/>
          <w:szCs w:val="24"/>
          <w:u w:val="single"/>
        </w:rPr>
        <w:t xml:space="preserve">Datos Financieros </w:t>
      </w: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Desde principios del año fiscal 2014, comenzamos a percibir una disminución significativa en la liquidez del Banco, primero como resultado de la Ley 24 de 2014, que requiere que todas las dependencias gubernamentales depositen los fondos en exceso en el Banco Gubernamental de Fomento (BGF); y, segundo, por la delicada situación económica en que entró todo el gobierno y que ha resultado en una insuficiencia de fondos en los agentes fiscales y demás instituciones gubernamentales. Como consecuencia, ha habido una disminución significativa de fondos disponibles para dar financiamientos y hacer inversiones que generaran ingresos para sostener la operación del Banco, independientemente del Fondo General.  Al momento, hemos podido mantener la operación del Banco, continuando con el desembolso de préstamos otorgados y la aprobación de nuevos créditos.</w:t>
      </w:r>
    </w:p>
    <w:p w:rsidR="00EC722A" w:rsidRPr="00EC722A" w:rsidRDefault="00EC722A" w:rsidP="00561BB9">
      <w:pPr>
        <w:pStyle w:val="ListParagraph"/>
        <w:ind w:left="1080"/>
        <w:jc w:val="both"/>
        <w:rPr>
          <w:rFonts w:ascii="Arial" w:hAnsi="Arial" w:cs="Arial"/>
          <w:sz w:val="24"/>
          <w:szCs w:val="24"/>
        </w:rPr>
      </w:pP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En tiempos de estrecha liquidez y en pro del desarrollo económico en 2015-16, hemos prestado más del doble de nuestro balance promedio de efectivo vs. una cuarta parte en el 2011-12.</w:t>
      </w:r>
    </w:p>
    <w:p w:rsidR="00EC722A" w:rsidRPr="00EC722A" w:rsidRDefault="00EC722A" w:rsidP="00561BB9">
      <w:pPr>
        <w:pStyle w:val="ListParagraph"/>
        <w:jc w:val="both"/>
        <w:rPr>
          <w:rFonts w:ascii="Arial" w:hAnsi="Arial" w:cs="Arial"/>
          <w:sz w:val="24"/>
          <w:szCs w:val="24"/>
        </w:rPr>
      </w:pPr>
    </w:p>
    <w:p w:rsidR="004A3F08"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Diseñamos e implementamos un nuevo modelo para calcular la tasa de interés, basado en el nivel de riesgo de la transacción, representando un aumento en ingresos por $4.4 millones o un 36.2% en el cuatrienio.</w:t>
      </w:r>
    </w:p>
    <w:p w:rsidR="004A3F08" w:rsidRPr="004A3F08" w:rsidRDefault="004A3F08" w:rsidP="00561BB9">
      <w:pPr>
        <w:pStyle w:val="ListParagraph"/>
        <w:rPr>
          <w:rFonts w:ascii="Arial" w:hAnsi="Arial" w:cs="Arial"/>
          <w:sz w:val="24"/>
          <w:szCs w:val="24"/>
        </w:rPr>
      </w:pPr>
    </w:p>
    <w:p w:rsidR="00EC722A" w:rsidRPr="00EC722A" w:rsidRDefault="00EC722A" w:rsidP="00561BB9">
      <w:pPr>
        <w:pStyle w:val="ListParagraph"/>
        <w:numPr>
          <w:ilvl w:val="0"/>
          <w:numId w:val="49"/>
        </w:numPr>
        <w:contextualSpacing/>
        <w:jc w:val="both"/>
        <w:rPr>
          <w:rFonts w:ascii="Arial" w:hAnsi="Arial" w:cs="Arial"/>
          <w:sz w:val="24"/>
          <w:szCs w:val="24"/>
        </w:rPr>
      </w:pPr>
      <w:r w:rsidRPr="00EC722A">
        <w:rPr>
          <w:rFonts w:ascii="Arial" w:hAnsi="Arial" w:cs="Arial"/>
          <w:sz w:val="24"/>
          <w:szCs w:val="24"/>
        </w:rPr>
        <w:t>Aumento en ingreso de interés de préstamos para la preservación de una operación autosuficiente:</w:t>
      </w:r>
    </w:p>
    <w:tbl>
      <w:tblPr>
        <w:tblStyle w:val="TableGrid"/>
        <w:tblW w:w="0" w:type="auto"/>
        <w:jc w:val="center"/>
        <w:tblInd w:w="1188" w:type="dxa"/>
        <w:tblLook w:val="04A0" w:firstRow="1" w:lastRow="0" w:firstColumn="1" w:lastColumn="0" w:noHBand="0" w:noVBand="1"/>
      </w:tblPr>
      <w:tblGrid>
        <w:gridCol w:w="1772"/>
        <w:gridCol w:w="3360"/>
        <w:gridCol w:w="3141"/>
      </w:tblGrid>
      <w:tr w:rsidR="00EC722A" w:rsidRPr="00660836" w:rsidTr="00EE796A">
        <w:trPr>
          <w:trHeight w:val="297"/>
          <w:jc w:val="center"/>
        </w:trPr>
        <w:tc>
          <w:tcPr>
            <w:tcW w:w="1920" w:type="dxa"/>
            <w:shd w:val="clear" w:color="auto" w:fill="BFBFBF" w:themeFill="background1" w:themeFillShade="BF"/>
            <w:noWrap/>
          </w:tcPr>
          <w:p w:rsidR="00EC722A" w:rsidRPr="00660836" w:rsidRDefault="00EC722A" w:rsidP="00561BB9">
            <w:pPr>
              <w:jc w:val="center"/>
              <w:rPr>
                <w:rFonts w:ascii="Arial" w:hAnsi="Arial" w:cs="Arial"/>
                <w:b/>
                <w:sz w:val="20"/>
                <w:szCs w:val="20"/>
              </w:rPr>
            </w:pPr>
            <w:proofErr w:type="spellStart"/>
            <w:r w:rsidRPr="00660836">
              <w:rPr>
                <w:rFonts w:ascii="Arial" w:hAnsi="Arial" w:cs="Arial"/>
                <w:b/>
                <w:sz w:val="20"/>
                <w:szCs w:val="20"/>
              </w:rPr>
              <w:t>Año</w:t>
            </w:r>
            <w:proofErr w:type="spellEnd"/>
            <w:r w:rsidRPr="00660836">
              <w:rPr>
                <w:rFonts w:ascii="Arial" w:hAnsi="Arial" w:cs="Arial"/>
                <w:b/>
                <w:sz w:val="20"/>
                <w:szCs w:val="20"/>
              </w:rPr>
              <w:t xml:space="preserve"> Fiscal</w:t>
            </w:r>
          </w:p>
        </w:tc>
        <w:tc>
          <w:tcPr>
            <w:tcW w:w="3660" w:type="dxa"/>
            <w:shd w:val="clear" w:color="auto" w:fill="BFBFBF" w:themeFill="background1" w:themeFillShade="BF"/>
            <w:noWrap/>
          </w:tcPr>
          <w:p w:rsidR="00EC722A" w:rsidRPr="00660836" w:rsidRDefault="00EC722A" w:rsidP="00561BB9">
            <w:pPr>
              <w:ind w:left="312"/>
              <w:contextualSpacing/>
              <w:rPr>
                <w:rFonts w:ascii="Arial" w:hAnsi="Arial" w:cs="Arial"/>
                <w:b/>
                <w:sz w:val="20"/>
                <w:szCs w:val="20"/>
              </w:rPr>
            </w:pPr>
            <w:proofErr w:type="spellStart"/>
            <w:r w:rsidRPr="00660836">
              <w:rPr>
                <w:rFonts w:ascii="Arial" w:hAnsi="Arial" w:cs="Arial"/>
                <w:b/>
                <w:sz w:val="20"/>
                <w:szCs w:val="20"/>
              </w:rPr>
              <w:t>Ingreso</w:t>
            </w:r>
            <w:proofErr w:type="spellEnd"/>
            <w:r w:rsidRPr="00660836">
              <w:rPr>
                <w:rFonts w:ascii="Arial" w:hAnsi="Arial" w:cs="Arial"/>
                <w:b/>
                <w:sz w:val="20"/>
                <w:szCs w:val="20"/>
              </w:rPr>
              <w:t xml:space="preserve"> </w:t>
            </w:r>
            <w:proofErr w:type="spellStart"/>
            <w:r w:rsidRPr="00660836">
              <w:rPr>
                <w:rFonts w:ascii="Arial" w:hAnsi="Arial" w:cs="Arial"/>
                <w:b/>
                <w:sz w:val="20"/>
                <w:szCs w:val="20"/>
              </w:rPr>
              <w:t>Interés</w:t>
            </w:r>
            <w:proofErr w:type="spellEnd"/>
            <w:r w:rsidRPr="00660836">
              <w:rPr>
                <w:rFonts w:ascii="Arial" w:hAnsi="Arial" w:cs="Arial"/>
                <w:b/>
                <w:sz w:val="20"/>
                <w:szCs w:val="20"/>
              </w:rPr>
              <w:t xml:space="preserve"> </w:t>
            </w:r>
            <w:proofErr w:type="spellStart"/>
            <w:r w:rsidRPr="00660836">
              <w:rPr>
                <w:rFonts w:ascii="Arial" w:hAnsi="Arial" w:cs="Arial"/>
                <w:b/>
                <w:sz w:val="20"/>
                <w:szCs w:val="20"/>
              </w:rPr>
              <w:t>Préstamos</w:t>
            </w:r>
            <w:proofErr w:type="spellEnd"/>
          </w:p>
        </w:tc>
        <w:tc>
          <w:tcPr>
            <w:tcW w:w="3420" w:type="dxa"/>
            <w:shd w:val="clear" w:color="auto" w:fill="BFBFBF" w:themeFill="background1" w:themeFillShade="BF"/>
            <w:noWrap/>
          </w:tcPr>
          <w:p w:rsidR="00EC722A" w:rsidRPr="00660836" w:rsidRDefault="00EC722A" w:rsidP="00561BB9">
            <w:pPr>
              <w:ind w:left="1080"/>
              <w:contextualSpacing/>
              <w:rPr>
                <w:rFonts w:ascii="Arial" w:hAnsi="Arial" w:cs="Arial"/>
                <w:b/>
                <w:sz w:val="20"/>
                <w:szCs w:val="20"/>
              </w:rPr>
            </w:pPr>
            <w:proofErr w:type="spellStart"/>
            <w:r w:rsidRPr="00660836">
              <w:rPr>
                <w:rFonts w:ascii="Arial" w:hAnsi="Arial" w:cs="Arial"/>
                <w:b/>
                <w:sz w:val="20"/>
                <w:szCs w:val="20"/>
              </w:rPr>
              <w:t>Cambio</w:t>
            </w:r>
            <w:proofErr w:type="spellEnd"/>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2011-12</w:t>
            </w:r>
          </w:p>
        </w:tc>
        <w:tc>
          <w:tcPr>
            <w:tcW w:w="3660" w:type="dxa"/>
            <w:noWrap/>
            <w:hideMark/>
          </w:tcPr>
          <w:p w:rsidR="00EC722A" w:rsidRPr="00660836" w:rsidRDefault="00EC722A" w:rsidP="00561BB9">
            <w:pPr>
              <w:ind w:left="1080"/>
              <w:contextualSpacing/>
              <w:rPr>
                <w:rFonts w:ascii="Arial" w:hAnsi="Arial" w:cs="Arial"/>
                <w:sz w:val="20"/>
                <w:szCs w:val="20"/>
              </w:rPr>
            </w:pPr>
            <w:r w:rsidRPr="00660836">
              <w:rPr>
                <w:rFonts w:ascii="Arial" w:hAnsi="Arial" w:cs="Arial"/>
                <w:sz w:val="20"/>
                <w:szCs w:val="20"/>
              </w:rPr>
              <w:t xml:space="preserve">   12,156,268 </w:t>
            </w:r>
          </w:p>
        </w:tc>
        <w:tc>
          <w:tcPr>
            <w:tcW w:w="34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N/A</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2012-13</w:t>
            </w:r>
          </w:p>
        </w:tc>
        <w:tc>
          <w:tcPr>
            <w:tcW w:w="3660" w:type="dxa"/>
            <w:noWrap/>
            <w:hideMark/>
          </w:tcPr>
          <w:p w:rsidR="00EC722A" w:rsidRPr="00660836" w:rsidRDefault="00EC722A" w:rsidP="00561BB9">
            <w:pPr>
              <w:ind w:left="1080"/>
              <w:contextualSpacing/>
              <w:rPr>
                <w:rFonts w:ascii="Arial" w:hAnsi="Arial" w:cs="Arial"/>
                <w:sz w:val="20"/>
                <w:szCs w:val="20"/>
              </w:rPr>
            </w:pPr>
            <w:r w:rsidRPr="00660836">
              <w:rPr>
                <w:rFonts w:ascii="Arial" w:hAnsi="Arial" w:cs="Arial"/>
                <w:sz w:val="20"/>
                <w:szCs w:val="20"/>
              </w:rPr>
              <w:t xml:space="preserve">   14,268,058 </w:t>
            </w:r>
          </w:p>
        </w:tc>
        <w:tc>
          <w:tcPr>
            <w:tcW w:w="34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17.37%</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2013-14</w:t>
            </w:r>
          </w:p>
        </w:tc>
        <w:tc>
          <w:tcPr>
            <w:tcW w:w="3660" w:type="dxa"/>
            <w:noWrap/>
            <w:hideMark/>
          </w:tcPr>
          <w:p w:rsidR="00EC722A" w:rsidRPr="00660836" w:rsidRDefault="00EC722A" w:rsidP="00561BB9">
            <w:pPr>
              <w:ind w:left="1080"/>
              <w:contextualSpacing/>
              <w:rPr>
                <w:rFonts w:ascii="Arial" w:hAnsi="Arial" w:cs="Arial"/>
                <w:sz w:val="20"/>
                <w:szCs w:val="20"/>
              </w:rPr>
            </w:pPr>
            <w:r w:rsidRPr="00660836">
              <w:rPr>
                <w:rFonts w:ascii="Arial" w:hAnsi="Arial" w:cs="Arial"/>
                <w:sz w:val="20"/>
                <w:szCs w:val="20"/>
              </w:rPr>
              <w:t xml:space="preserve">   15,292,875 </w:t>
            </w:r>
          </w:p>
        </w:tc>
        <w:tc>
          <w:tcPr>
            <w:tcW w:w="34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7.18%</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2014-15</w:t>
            </w:r>
          </w:p>
        </w:tc>
        <w:tc>
          <w:tcPr>
            <w:tcW w:w="3660" w:type="dxa"/>
            <w:noWrap/>
            <w:hideMark/>
          </w:tcPr>
          <w:p w:rsidR="00EC722A" w:rsidRPr="00660836" w:rsidRDefault="00EC722A" w:rsidP="00561BB9">
            <w:pPr>
              <w:ind w:left="1080"/>
              <w:contextualSpacing/>
              <w:rPr>
                <w:rFonts w:ascii="Arial" w:hAnsi="Arial" w:cs="Arial"/>
                <w:sz w:val="20"/>
                <w:szCs w:val="20"/>
              </w:rPr>
            </w:pPr>
            <w:r w:rsidRPr="00660836">
              <w:rPr>
                <w:rFonts w:ascii="Arial" w:hAnsi="Arial" w:cs="Arial"/>
                <w:sz w:val="20"/>
                <w:szCs w:val="20"/>
              </w:rPr>
              <w:t xml:space="preserve">   17,022,100 </w:t>
            </w:r>
          </w:p>
        </w:tc>
        <w:tc>
          <w:tcPr>
            <w:tcW w:w="34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11.31%</w:t>
            </w:r>
          </w:p>
        </w:tc>
      </w:tr>
      <w:tr w:rsidR="00EC722A" w:rsidRPr="00660836" w:rsidTr="00EE796A">
        <w:trPr>
          <w:trHeight w:val="297"/>
          <w:jc w:val="center"/>
        </w:trPr>
        <w:tc>
          <w:tcPr>
            <w:tcW w:w="192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2015-16</w:t>
            </w:r>
          </w:p>
        </w:tc>
        <w:tc>
          <w:tcPr>
            <w:tcW w:w="3660" w:type="dxa"/>
            <w:noWrap/>
          </w:tcPr>
          <w:p w:rsidR="00EC722A" w:rsidRPr="00660836" w:rsidRDefault="00EC722A" w:rsidP="00561BB9">
            <w:pPr>
              <w:ind w:left="1080"/>
              <w:contextualSpacing/>
              <w:rPr>
                <w:rFonts w:ascii="Arial" w:hAnsi="Arial" w:cs="Arial"/>
                <w:sz w:val="20"/>
                <w:szCs w:val="20"/>
              </w:rPr>
            </w:pPr>
            <w:r w:rsidRPr="00660836">
              <w:rPr>
                <w:rFonts w:ascii="Arial" w:hAnsi="Arial" w:cs="Arial"/>
                <w:sz w:val="20"/>
                <w:szCs w:val="20"/>
              </w:rPr>
              <w:t xml:space="preserve">   16,554,015</w:t>
            </w:r>
          </w:p>
        </w:tc>
        <w:tc>
          <w:tcPr>
            <w:tcW w:w="342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-2.75%</w:t>
            </w:r>
          </w:p>
        </w:tc>
      </w:tr>
    </w:tbl>
    <w:p w:rsidR="00EC722A" w:rsidRDefault="00EC722A" w:rsidP="00561BB9">
      <w:pPr>
        <w:pStyle w:val="ListParagraph"/>
        <w:ind w:left="1080"/>
        <w:jc w:val="both"/>
        <w:rPr>
          <w:rFonts w:ascii="Arial" w:hAnsi="Arial" w:cs="Arial"/>
          <w:sz w:val="28"/>
          <w:szCs w:val="28"/>
        </w:rPr>
      </w:pPr>
    </w:p>
    <w:p w:rsidR="00EC722A"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Mantenemos la actividad prestataria con cierres de financiamientos, aun cuando los niveles de liquidez han disminuido dramáticamente:</w:t>
      </w:r>
    </w:p>
    <w:tbl>
      <w:tblPr>
        <w:tblStyle w:val="TableGrid"/>
        <w:tblW w:w="0" w:type="auto"/>
        <w:jc w:val="center"/>
        <w:tblInd w:w="1188" w:type="dxa"/>
        <w:tblLook w:val="04A0" w:firstRow="1" w:lastRow="0" w:firstColumn="1" w:lastColumn="0" w:noHBand="0" w:noVBand="1"/>
      </w:tblPr>
      <w:tblGrid>
        <w:gridCol w:w="1920"/>
        <w:gridCol w:w="1860"/>
        <w:gridCol w:w="1800"/>
        <w:gridCol w:w="1366"/>
        <w:gridCol w:w="1327"/>
      </w:tblGrid>
      <w:tr w:rsidR="00EC722A" w:rsidRPr="00660836" w:rsidTr="00EE796A">
        <w:trPr>
          <w:trHeight w:val="297"/>
          <w:jc w:val="center"/>
        </w:trPr>
        <w:tc>
          <w:tcPr>
            <w:tcW w:w="1920" w:type="dxa"/>
            <w:shd w:val="clear" w:color="auto" w:fill="BFBFBF" w:themeFill="background1" w:themeFillShade="BF"/>
            <w:noWrap/>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Año Fiscal</w:t>
            </w:r>
          </w:p>
        </w:tc>
        <w:tc>
          <w:tcPr>
            <w:tcW w:w="1860" w:type="dxa"/>
            <w:shd w:val="clear" w:color="auto" w:fill="BFBFBF" w:themeFill="background1" w:themeFillShade="BF"/>
            <w:noWrap/>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Cierres</w:t>
            </w:r>
          </w:p>
        </w:tc>
        <w:tc>
          <w:tcPr>
            <w:tcW w:w="1800" w:type="dxa"/>
            <w:shd w:val="clear" w:color="auto" w:fill="BFBFBF" w:themeFill="background1" w:themeFillShade="BF"/>
            <w:noWrap/>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Cambio</w:t>
            </w:r>
          </w:p>
        </w:tc>
        <w:tc>
          <w:tcPr>
            <w:tcW w:w="1710" w:type="dxa"/>
            <w:shd w:val="clear" w:color="auto" w:fill="BFBFBF" w:themeFill="background1" w:themeFillShade="BF"/>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Liquidez</w:t>
            </w:r>
          </w:p>
        </w:tc>
        <w:tc>
          <w:tcPr>
            <w:tcW w:w="1710" w:type="dxa"/>
            <w:shd w:val="clear" w:color="auto" w:fill="BFBFBF" w:themeFill="background1" w:themeFillShade="BF"/>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Cambio</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2011-12</w:t>
            </w:r>
          </w:p>
        </w:tc>
        <w:tc>
          <w:tcPr>
            <w:tcW w:w="186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116,659,067</w:t>
            </w:r>
          </w:p>
        </w:tc>
        <w:tc>
          <w:tcPr>
            <w:tcW w:w="180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N/A</w:t>
            </w:r>
          </w:p>
        </w:tc>
        <w:tc>
          <w:tcPr>
            <w:tcW w:w="1710" w:type="dxa"/>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82.7%</w:t>
            </w:r>
          </w:p>
        </w:tc>
        <w:tc>
          <w:tcPr>
            <w:tcW w:w="1710" w:type="dxa"/>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N/A</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2012-13</w:t>
            </w:r>
          </w:p>
        </w:tc>
        <w:tc>
          <w:tcPr>
            <w:tcW w:w="186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117,240,136</w:t>
            </w:r>
          </w:p>
        </w:tc>
        <w:tc>
          <w:tcPr>
            <w:tcW w:w="1800" w:type="dxa"/>
            <w:noWrap/>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0.50%</w:t>
            </w:r>
          </w:p>
        </w:tc>
        <w:tc>
          <w:tcPr>
            <w:tcW w:w="1710" w:type="dxa"/>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63.0%</w:t>
            </w:r>
          </w:p>
        </w:tc>
        <w:tc>
          <w:tcPr>
            <w:tcW w:w="1710" w:type="dxa"/>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-23.82%</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lang w:val="es-PR"/>
              </w:rPr>
              <w:t>20</w:t>
            </w:r>
            <w:r w:rsidRPr="00660836">
              <w:rPr>
                <w:rFonts w:ascii="Arial" w:hAnsi="Arial" w:cs="Arial"/>
                <w:sz w:val="20"/>
                <w:szCs w:val="20"/>
              </w:rPr>
              <w:t>13-14</w:t>
            </w:r>
          </w:p>
        </w:tc>
        <w:tc>
          <w:tcPr>
            <w:tcW w:w="18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136,723,298</w:t>
            </w:r>
          </w:p>
        </w:tc>
        <w:tc>
          <w:tcPr>
            <w:tcW w:w="180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16.62%</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58.4%</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-7.30%</w:t>
            </w:r>
          </w:p>
        </w:tc>
      </w:tr>
      <w:tr w:rsidR="00EC722A" w:rsidRPr="00660836" w:rsidTr="00EE796A">
        <w:trPr>
          <w:trHeight w:val="297"/>
          <w:jc w:val="center"/>
        </w:trPr>
        <w:tc>
          <w:tcPr>
            <w:tcW w:w="192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2014-15</w:t>
            </w:r>
          </w:p>
        </w:tc>
        <w:tc>
          <w:tcPr>
            <w:tcW w:w="18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85,668,153</w:t>
            </w:r>
          </w:p>
        </w:tc>
        <w:tc>
          <w:tcPr>
            <w:tcW w:w="180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-37.34%</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27.3%</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-53.25%</w:t>
            </w:r>
          </w:p>
        </w:tc>
      </w:tr>
      <w:tr w:rsidR="00EC722A" w:rsidRPr="00660836" w:rsidTr="00EE796A">
        <w:trPr>
          <w:trHeight w:val="297"/>
          <w:jc w:val="center"/>
        </w:trPr>
        <w:tc>
          <w:tcPr>
            <w:tcW w:w="192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2015-16</w:t>
            </w:r>
          </w:p>
        </w:tc>
        <w:tc>
          <w:tcPr>
            <w:tcW w:w="186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41,964,874</w:t>
            </w:r>
          </w:p>
        </w:tc>
        <w:tc>
          <w:tcPr>
            <w:tcW w:w="180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-54.01%</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12.8%</w:t>
            </w:r>
          </w:p>
        </w:tc>
        <w:tc>
          <w:tcPr>
            <w:tcW w:w="1710" w:type="dxa"/>
          </w:tcPr>
          <w:p w:rsidR="00EC722A" w:rsidRPr="00660836" w:rsidRDefault="00EC722A" w:rsidP="00561BB9">
            <w:pPr>
              <w:jc w:val="center"/>
              <w:rPr>
                <w:rFonts w:ascii="Arial" w:hAnsi="Arial" w:cs="Arial"/>
                <w:sz w:val="20"/>
                <w:szCs w:val="20"/>
              </w:rPr>
            </w:pPr>
            <w:r w:rsidRPr="00660836">
              <w:rPr>
                <w:rFonts w:ascii="Arial" w:hAnsi="Arial" w:cs="Arial"/>
                <w:sz w:val="20"/>
                <w:szCs w:val="20"/>
              </w:rPr>
              <w:t>-53.11%</w:t>
            </w:r>
          </w:p>
        </w:tc>
      </w:tr>
    </w:tbl>
    <w:p w:rsidR="004A3F08" w:rsidRDefault="004A3F08" w:rsidP="00561BB9">
      <w:pPr>
        <w:rPr>
          <w:rFonts w:ascii="Arial" w:hAnsi="Arial" w:cs="Arial"/>
          <w:sz w:val="28"/>
          <w:szCs w:val="28"/>
        </w:rPr>
      </w:pPr>
    </w:p>
    <w:p w:rsidR="00561BB9" w:rsidRPr="00561BB9" w:rsidRDefault="00561BB9" w:rsidP="00561BB9">
      <w:pPr>
        <w:contextualSpacing/>
        <w:jc w:val="both"/>
        <w:rPr>
          <w:rFonts w:ascii="Arial" w:hAnsi="Arial" w:cs="Arial"/>
          <w:sz w:val="24"/>
          <w:szCs w:val="24"/>
        </w:rPr>
      </w:pPr>
    </w:p>
    <w:p w:rsidR="004A3F08"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Información de solicitudes y orientaciones de Servicio al Cliente:</w:t>
      </w:r>
    </w:p>
    <w:tbl>
      <w:tblPr>
        <w:tblStyle w:val="TableGrid"/>
        <w:tblW w:w="8521" w:type="dxa"/>
        <w:jc w:val="center"/>
        <w:tblInd w:w="1516" w:type="dxa"/>
        <w:tblLook w:val="04A0" w:firstRow="1" w:lastRow="0" w:firstColumn="1" w:lastColumn="0" w:noHBand="0" w:noVBand="1"/>
      </w:tblPr>
      <w:tblGrid>
        <w:gridCol w:w="1550"/>
        <w:gridCol w:w="3607"/>
        <w:gridCol w:w="3379"/>
      </w:tblGrid>
      <w:tr w:rsidR="00EC722A" w:rsidRPr="00370E93" w:rsidTr="004A3F08">
        <w:trPr>
          <w:trHeight w:val="243"/>
          <w:jc w:val="center"/>
        </w:trPr>
        <w:tc>
          <w:tcPr>
            <w:tcW w:w="1535" w:type="dxa"/>
            <w:shd w:val="clear" w:color="auto" w:fill="BFBFBF" w:themeFill="background1" w:themeFillShade="BF"/>
            <w:noWrap/>
            <w:vAlign w:val="center"/>
            <w:hideMark/>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Orientaciones ofrecidas</w:t>
            </w:r>
          </w:p>
        </w:tc>
        <w:tc>
          <w:tcPr>
            <w:tcW w:w="3607" w:type="dxa"/>
            <w:shd w:val="clear" w:color="auto" w:fill="BFBFBF" w:themeFill="background1" w:themeFillShade="BF"/>
            <w:noWrap/>
            <w:vAlign w:val="center"/>
            <w:hideMark/>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Solicitudes de financiamiento recibidas</w:t>
            </w:r>
          </w:p>
        </w:tc>
        <w:tc>
          <w:tcPr>
            <w:tcW w:w="3379" w:type="dxa"/>
            <w:shd w:val="clear" w:color="auto" w:fill="BFBFBF" w:themeFill="background1" w:themeFillShade="BF"/>
            <w:noWrap/>
            <w:vAlign w:val="center"/>
            <w:hideMark/>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Monto de las solicitudes recibidas</w:t>
            </w:r>
          </w:p>
        </w:tc>
      </w:tr>
      <w:tr w:rsidR="00EC722A" w:rsidRPr="00660836" w:rsidTr="004A3F08">
        <w:trPr>
          <w:trHeight w:val="243"/>
          <w:jc w:val="center"/>
        </w:trPr>
        <w:tc>
          <w:tcPr>
            <w:tcW w:w="1535" w:type="dxa"/>
            <w:noWrap/>
            <w:hideMark/>
          </w:tcPr>
          <w:p w:rsidR="00EC722A" w:rsidRPr="00660836" w:rsidRDefault="00EC722A" w:rsidP="00561BB9">
            <w:pPr>
              <w:ind w:left="360"/>
              <w:jc w:val="center"/>
              <w:rPr>
                <w:rFonts w:ascii="Arial" w:hAnsi="Arial" w:cs="Arial"/>
                <w:sz w:val="20"/>
                <w:szCs w:val="20"/>
              </w:rPr>
            </w:pPr>
            <w:r w:rsidRPr="00660836">
              <w:rPr>
                <w:rFonts w:ascii="Arial" w:hAnsi="Arial" w:cs="Arial"/>
                <w:sz w:val="20"/>
                <w:szCs w:val="20"/>
              </w:rPr>
              <w:t>9,485</w:t>
            </w:r>
          </w:p>
        </w:tc>
        <w:tc>
          <w:tcPr>
            <w:tcW w:w="3607" w:type="dxa"/>
            <w:noWrap/>
            <w:hideMark/>
          </w:tcPr>
          <w:p w:rsidR="00EC722A" w:rsidRPr="00660836" w:rsidRDefault="00EC722A" w:rsidP="00561BB9">
            <w:pPr>
              <w:ind w:left="360"/>
              <w:jc w:val="center"/>
              <w:rPr>
                <w:rFonts w:ascii="Arial" w:hAnsi="Arial" w:cs="Arial"/>
                <w:sz w:val="20"/>
                <w:szCs w:val="20"/>
              </w:rPr>
            </w:pPr>
            <w:r w:rsidRPr="00660836">
              <w:rPr>
                <w:rFonts w:ascii="Arial" w:hAnsi="Arial" w:cs="Arial"/>
                <w:sz w:val="20"/>
                <w:szCs w:val="20"/>
              </w:rPr>
              <w:t>1,501</w:t>
            </w:r>
          </w:p>
        </w:tc>
        <w:tc>
          <w:tcPr>
            <w:tcW w:w="3379" w:type="dxa"/>
            <w:noWrap/>
            <w:hideMark/>
          </w:tcPr>
          <w:p w:rsidR="00EC722A" w:rsidRPr="00660836" w:rsidRDefault="00EC722A" w:rsidP="00561BB9">
            <w:pPr>
              <w:ind w:left="360"/>
              <w:jc w:val="center"/>
              <w:rPr>
                <w:rFonts w:ascii="Arial" w:hAnsi="Arial" w:cs="Arial"/>
                <w:sz w:val="20"/>
                <w:szCs w:val="20"/>
              </w:rPr>
            </w:pPr>
            <w:r w:rsidRPr="00660836">
              <w:rPr>
                <w:rFonts w:ascii="Arial" w:hAnsi="Arial" w:cs="Arial"/>
                <w:sz w:val="20"/>
                <w:szCs w:val="20"/>
              </w:rPr>
              <w:t>$973,248,000</w:t>
            </w:r>
          </w:p>
        </w:tc>
      </w:tr>
    </w:tbl>
    <w:p w:rsidR="00EC722A" w:rsidRPr="00660836" w:rsidRDefault="00EC722A" w:rsidP="00561BB9">
      <w:pPr>
        <w:ind w:left="1080"/>
        <w:jc w:val="both"/>
        <w:rPr>
          <w:rFonts w:ascii="Arial" w:eastAsia="Calibri" w:hAnsi="Arial" w:cs="Arial"/>
          <w:sz w:val="24"/>
          <w:szCs w:val="24"/>
          <w:lang w:val="es-ES_tradnl"/>
        </w:rPr>
      </w:pPr>
    </w:p>
    <w:p w:rsidR="00EC722A"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Información sobre financiamientos aprobados:</w:t>
      </w:r>
    </w:p>
    <w:tbl>
      <w:tblPr>
        <w:tblStyle w:val="TableGrid"/>
        <w:tblW w:w="8422" w:type="dxa"/>
        <w:jc w:val="center"/>
        <w:tblInd w:w="616" w:type="dxa"/>
        <w:tblLook w:val="04A0" w:firstRow="1" w:lastRow="0" w:firstColumn="1" w:lastColumn="0" w:noHBand="0" w:noVBand="1"/>
      </w:tblPr>
      <w:tblGrid>
        <w:gridCol w:w="4525"/>
        <w:gridCol w:w="3897"/>
      </w:tblGrid>
      <w:tr w:rsidR="00EC722A" w:rsidRPr="00660836" w:rsidTr="004A3F08">
        <w:trPr>
          <w:trHeight w:val="322"/>
          <w:jc w:val="center"/>
        </w:trPr>
        <w:tc>
          <w:tcPr>
            <w:tcW w:w="4525" w:type="dxa"/>
            <w:shd w:val="clear" w:color="auto" w:fill="BFBFBF" w:themeFill="background1" w:themeFillShade="BF"/>
            <w:noWrap/>
            <w:vAlign w:val="center"/>
            <w:hideMark/>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Aprobaciones</w:t>
            </w:r>
          </w:p>
        </w:tc>
        <w:tc>
          <w:tcPr>
            <w:tcW w:w="3897" w:type="dxa"/>
            <w:shd w:val="clear" w:color="auto" w:fill="BFBFBF" w:themeFill="background1" w:themeFillShade="BF"/>
            <w:noWrap/>
            <w:vAlign w:val="center"/>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Cantidad</w:t>
            </w:r>
          </w:p>
        </w:tc>
      </w:tr>
      <w:tr w:rsidR="00EC722A" w:rsidRPr="00660836" w:rsidTr="004A3F08">
        <w:trPr>
          <w:trHeight w:val="322"/>
          <w:jc w:val="center"/>
        </w:trPr>
        <w:tc>
          <w:tcPr>
            <w:tcW w:w="4525" w:type="dxa"/>
            <w:noWrap/>
            <w:hideMark/>
          </w:tcPr>
          <w:p w:rsidR="00EC722A" w:rsidRPr="00660836" w:rsidRDefault="00EC722A" w:rsidP="00561BB9">
            <w:pPr>
              <w:ind w:left="360"/>
              <w:jc w:val="center"/>
              <w:rPr>
                <w:rFonts w:ascii="Arial" w:hAnsi="Arial" w:cs="Arial"/>
                <w:sz w:val="20"/>
                <w:szCs w:val="20"/>
              </w:rPr>
            </w:pPr>
            <w:r w:rsidRPr="00660836">
              <w:rPr>
                <w:rFonts w:ascii="Arial" w:hAnsi="Arial" w:cs="Arial"/>
                <w:sz w:val="20"/>
                <w:szCs w:val="20"/>
              </w:rPr>
              <w:t>916</w:t>
            </w:r>
          </w:p>
        </w:tc>
        <w:tc>
          <w:tcPr>
            <w:tcW w:w="3897" w:type="dxa"/>
            <w:noWrap/>
            <w:hideMark/>
          </w:tcPr>
          <w:p w:rsidR="00EC722A" w:rsidRPr="00660836" w:rsidRDefault="00EC722A" w:rsidP="00561BB9">
            <w:pPr>
              <w:ind w:left="360"/>
              <w:jc w:val="center"/>
              <w:rPr>
                <w:rFonts w:ascii="Arial" w:hAnsi="Arial" w:cs="Arial"/>
                <w:sz w:val="20"/>
                <w:szCs w:val="20"/>
              </w:rPr>
            </w:pPr>
            <w:r w:rsidRPr="00660836">
              <w:rPr>
                <w:rFonts w:ascii="Arial" w:hAnsi="Arial" w:cs="Arial"/>
                <w:sz w:val="20"/>
                <w:szCs w:val="20"/>
              </w:rPr>
              <w:t>$486,517,247</w:t>
            </w:r>
          </w:p>
        </w:tc>
      </w:tr>
    </w:tbl>
    <w:p w:rsidR="00EC722A" w:rsidRPr="00FA080F" w:rsidRDefault="00EC722A" w:rsidP="00561BB9">
      <w:pPr>
        <w:ind w:left="720"/>
        <w:jc w:val="both"/>
        <w:rPr>
          <w:rFonts w:ascii="Arial" w:hAnsi="Arial" w:cs="Arial"/>
          <w:sz w:val="28"/>
          <w:szCs w:val="28"/>
        </w:rPr>
      </w:pPr>
    </w:p>
    <w:p w:rsidR="00EC722A" w:rsidRPr="004A3F08" w:rsidRDefault="00EC722A" w:rsidP="00561BB9">
      <w:pPr>
        <w:pStyle w:val="ListParagraph"/>
        <w:numPr>
          <w:ilvl w:val="0"/>
          <w:numId w:val="49"/>
        </w:numPr>
        <w:contextualSpacing/>
        <w:jc w:val="both"/>
        <w:rPr>
          <w:rFonts w:ascii="Arial" w:eastAsia="Calibri" w:hAnsi="Arial" w:cs="Arial"/>
          <w:sz w:val="24"/>
          <w:szCs w:val="24"/>
          <w:lang w:val="es-ES_tradnl"/>
        </w:rPr>
      </w:pPr>
      <w:r w:rsidRPr="004A3F08">
        <w:rPr>
          <w:rFonts w:ascii="Arial" w:hAnsi="Arial" w:cs="Arial"/>
          <w:sz w:val="24"/>
          <w:szCs w:val="24"/>
        </w:rPr>
        <w:t>Como resultado de los esfuerzos del Banco, en la tabla a continuación, se puede observar el efecto en la creación de empleos:</w:t>
      </w:r>
    </w:p>
    <w:tbl>
      <w:tblPr>
        <w:tblStyle w:val="TableGrid"/>
        <w:tblW w:w="0" w:type="auto"/>
        <w:jc w:val="center"/>
        <w:tblInd w:w="1188" w:type="dxa"/>
        <w:tblLook w:val="04A0" w:firstRow="1" w:lastRow="0" w:firstColumn="1" w:lastColumn="0" w:noHBand="0" w:noVBand="1"/>
      </w:tblPr>
      <w:tblGrid>
        <w:gridCol w:w="1653"/>
        <w:gridCol w:w="1820"/>
        <w:gridCol w:w="1598"/>
        <w:gridCol w:w="1674"/>
        <w:gridCol w:w="1528"/>
      </w:tblGrid>
      <w:tr w:rsidR="00EC722A" w:rsidRPr="00660836" w:rsidTr="00EE796A">
        <w:trPr>
          <w:jc w:val="center"/>
        </w:trPr>
        <w:tc>
          <w:tcPr>
            <w:tcW w:w="1870" w:type="dxa"/>
            <w:shd w:val="clear" w:color="auto" w:fill="BFBFBF" w:themeFill="background1" w:themeFillShade="BF"/>
            <w:vAlign w:val="center"/>
          </w:tcPr>
          <w:p w:rsidR="00EC722A" w:rsidRPr="00660836" w:rsidRDefault="00EC722A" w:rsidP="00561BB9">
            <w:pPr>
              <w:jc w:val="center"/>
              <w:rPr>
                <w:rFonts w:ascii="Arial" w:eastAsia="Calibri" w:hAnsi="Arial" w:cs="Arial"/>
                <w:b/>
                <w:sz w:val="20"/>
                <w:szCs w:val="20"/>
                <w:lang w:val="es-ES_tradnl"/>
              </w:rPr>
            </w:pPr>
            <w:r w:rsidRPr="00660836">
              <w:rPr>
                <w:rFonts w:ascii="Arial" w:eastAsia="Calibri" w:hAnsi="Arial" w:cs="Arial"/>
                <w:b/>
                <w:sz w:val="20"/>
                <w:szCs w:val="20"/>
                <w:lang w:val="es-ES_tradnl"/>
              </w:rPr>
              <w:t>Cierres</w:t>
            </w:r>
          </w:p>
        </w:tc>
        <w:tc>
          <w:tcPr>
            <w:tcW w:w="1929" w:type="dxa"/>
            <w:shd w:val="clear" w:color="auto" w:fill="BFBFBF" w:themeFill="background1" w:themeFillShade="BF"/>
            <w:vAlign w:val="center"/>
          </w:tcPr>
          <w:p w:rsidR="00EC722A" w:rsidRPr="00660836" w:rsidRDefault="00EC722A" w:rsidP="00561BB9">
            <w:pPr>
              <w:jc w:val="center"/>
              <w:rPr>
                <w:rFonts w:ascii="Arial" w:eastAsia="Calibri" w:hAnsi="Arial" w:cs="Arial"/>
                <w:b/>
                <w:sz w:val="20"/>
                <w:szCs w:val="20"/>
                <w:lang w:val="es-ES_tradnl"/>
              </w:rPr>
            </w:pPr>
            <w:r w:rsidRPr="00660836">
              <w:rPr>
                <w:rFonts w:ascii="Arial" w:eastAsia="Calibri" w:hAnsi="Arial" w:cs="Arial"/>
                <w:b/>
                <w:sz w:val="20"/>
                <w:szCs w:val="20"/>
                <w:lang w:val="es-ES_tradnl"/>
              </w:rPr>
              <w:t>Cantidad</w:t>
            </w:r>
          </w:p>
        </w:tc>
        <w:tc>
          <w:tcPr>
            <w:tcW w:w="1756" w:type="dxa"/>
            <w:shd w:val="clear" w:color="auto" w:fill="BFBFBF" w:themeFill="background1" w:themeFillShade="BF"/>
          </w:tcPr>
          <w:p w:rsidR="00EC722A" w:rsidRPr="00660836" w:rsidRDefault="00EC722A" w:rsidP="00561BB9">
            <w:pPr>
              <w:jc w:val="center"/>
              <w:rPr>
                <w:rFonts w:ascii="Arial" w:eastAsia="Calibri" w:hAnsi="Arial" w:cs="Arial"/>
                <w:b/>
                <w:sz w:val="20"/>
                <w:szCs w:val="20"/>
                <w:lang w:val="es-ES_tradnl"/>
              </w:rPr>
            </w:pPr>
            <w:r w:rsidRPr="00660836">
              <w:rPr>
                <w:rFonts w:ascii="Arial" w:eastAsia="Calibri" w:hAnsi="Arial" w:cs="Arial"/>
                <w:b/>
                <w:sz w:val="20"/>
                <w:szCs w:val="20"/>
                <w:lang w:val="es-ES_tradnl"/>
              </w:rPr>
              <w:t>Empleos Nuevos</w:t>
            </w:r>
          </w:p>
        </w:tc>
        <w:tc>
          <w:tcPr>
            <w:tcW w:w="1815" w:type="dxa"/>
            <w:shd w:val="clear" w:color="auto" w:fill="BFBFBF" w:themeFill="background1" w:themeFillShade="BF"/>
          </w:tcPr>
          <w:p w:rsidR="00EC722A" w:rsidRPr="00660836" w:rsidRDefault="00EC722A" w:rsidP="00561BB9">
            <w:pPr>
              <w:jc w:val="center"/>
              <w:rPr>
                <w:rFonts w:ascii="Arial" w:eastAsia="Calibri" w:hAnsi="Arial" w:cs="Arial"/>
                <w:b/>
                <w:sz w:val="20"/>
                <w:szCs w:val="20"/>
                <w:lang w:val="es-ES_tradnl"/>
              </w:rPr>
            </w:pPr>
            <w:r w:rsidRPr="00660836">
              <w:rPr>
                <w:rFonts w:ascii="Arial" w:eastAsia="Calibri" w:hAnsi="Arial" w:cs="Arial"/>
                <w:b/>
                <w:sz w:val="20"/>
                <w:szCs w:val="20"/>
                <w:lang w:val="es-ES_tradnl"/>
              </w:rPr>
              <w:t>Empleos Retenidos</w:t>
            </w:r>
          </w:p>
        </w:tc>
        <w:tc>
          <w:tcPr>
            <w:tcW w:w="1630" w:type="dxa"/>
            <w:shd w:val="clear" w:color="auto" w:fill="BFBFBF" w:themeFill="background1" w:themeFillShade="BF"/>
          </w:tcPr>
          <w:p w:rsidR="00EC722A" w:rsidRPr="00660836" w:rsidRDefault="00EC722A" w:rsidP="00561BB9">
            <w:pPr>
              <w:jc w:val="center"/>
              <w:rPr>
                <w:rFonts w:ascii="Arial" w:eastAsia="Calibri" w:hAnsi="Arial" w:cs="Arial"/>
                <w:b/>
                <w:sz w:val="20"/>
                <w:szCs w:val="20"/>
                <w:lang w:val="es-ES_tradnl"/>
              </w:rPr>
            </w:pPr>
            <w:r w:rsidRPr="00660836">
              <w:rPr>
                <w:rFonts w:ascii="Arial" w:eastAsia="Calibri" w:hAnsi="Arial" w:cs="Arial"/>
                <w:b/>
                <w:sz w:val="20"/>
                <w:szCs w:val="20"/>
                <w:lang w:val="es-ES_tradnl"/>
              </w:rPr>
              <w:t>Empleos Indirectos</w:t>
            </w:r>
          </w:p>
        </w:tc>
      </w:tr>
      <w:tr w:rsidR="00EC722A" w:rsidRPr="00660836" w:rsidTr="00EE796A">
        <w:trPr>
          <w:jc w:val="center"/>
        </w:trPr>
        <w:tc>
          <w:tcPr>
            <w:tcW w:w="1870" w:type="dxa"/>
          </w:tcPr>
          <w:p w:rsidR="00EC722A" w:rsidRPr="00660836" w:rsidRDefault="00EC722A" w:rsidP="00561BB9">
            <w:pPr>
              <w:jc w:val="center"/>
              <w:rPr>
                <w:rFonts w:ascii="Arial" w:eastAsia="Calibri" w:hAnsi="Arial" w:cs="Arial"/>
                <w:sz w:val="20"/>
                <w:szCs w:val="20"/>
                <w:lang w:val="es-ES_tradnl"/>
              </w:rPr>
            </w:pPr>
            <w:r w:rsidRPr="00660836">
              <w:rPr>
                <w:rFonts w:ascii="Arial" w:eastAsia="Calibri" w:hAnsi="Arial" w:cs="Arial"/>
                <w:sz w:val="20"/>
                <w:szCs w:val="20"/>
                <w:lang w:val="es-ES_tradnl"/>
              </w:rPr>
              <w:t>706</w:t>
            </w:r>
          </w:p>
        </w:tc>
        <w:tc>
          <w:tcPr>
            <w:tcW w:w="1929" w:type="dxa"/>
          </w:tcPr>
          <w:p w:rsidR="00EC722A" w:rsidRPr="00660836" w:rsidRDefault="00EC722A" w:rsidP="00561BB9">
            <w:pPr>
              <w:jc w:val="center"/>
              <w:rPr>
                <w:rFonts w:ascii="Arial" w:eastAsia="Calibri" w:hAnsi="Arial" w:cs="Arial"/>
                <w:sz w:val="20"/>
                <w:szCs w:val="20"/>
                <w:lang w:val="es-ES_tradnl"/>
              </w:rPr>
            </w:pPr>
            <w:r w:rsidRPr="00660836">
              <w:rPr>
                <w:rFonts w:ascii="Arial" w:eastAsia="Calibri" w:hAnsi="Arial" w:cs="Arial"/>
                <w:sz w:val="20"/>
                <w:szCs w:val="20"/>
                <w:lang w:val="es-ES_tradnl"/>
              </w:rPr>
              <w:t>$309,533,650</w:t>
            </w:r>
          </w:p>
        </w:tc>
        <w:tc>
          <w:tcPr>
            <w:tcW w:w="1756" w:type="dxa"/>
          </w:tcPr>
          <w:p w:rsidR="00EC722A" w:rsidRPr="00660836" w:rsidRDefault="00EC722A" w:rsidP="00561BB9">
            <w:pPr>
              <w:jc w:val="center"/>
              <w:rPr>
                <w:rFonts w:ascii="Arial" w:eastAsia="Calibri" w:hAnsi="Arial" w:cs="Arial"/>
                <w:sz w:val="20"/>
                <w:szCs w:val="20"/>
                <w:lang w:val="es-ES_tradnl"/>
              </w:rPr>
            </w:pPr>
            <w:r w:rsidRPr="00660836">
              <w:rPr>
                <w:rFonts w:ascii="Arial" w:eastAsia="Calibri" w:hAnsi="Arial" w:cs="Arial"/>
                <w:sz w:val="20"/>
                <w:szCs w:val="20"/>
                <w:lang w:val="es-ES_tradnl"/>
              </w:rPr>
              <w:t>5,446</w:t>
            </w:r>
          </w:p>
        </w:tc>
        <w:tc>
          <w:tcPr>
            <w:tcW w:w="1815" w:type="dxa"/>
          </w:tcPr>
          <w:p w:rsidR="00EC722A" w:rsidRPr="00660836" w:rsidRDefault="00EC722A" w:rsidP="00561BB9">
            <w:pPr>
              <w:jc w:val="center"/>
              <w:rPr>
                <w:rFonts w:ascii="Arial" w:eastAsia="Calibri" w:hAnsi="Arial" w:cs="Arial"/>
                <w:sz w:val="20"/>
                <w:szCs w:val="20"/>
                <w:lang w:val="es-ES_tradnl"/>
              </w:rPr>
            </w:pPr>
            <w:r w:rsidRPr="00660836">
              <w:rPr>
                <w:rFonts w:ascii="Arial" w:eastAsia="Calibri" w:hAnsi="Arial" w:cs="Arial"/>
                <w:sz w:val="20"/>
                <w:szCs w:val="20"/>
                <w:lang w:val="es-ES_tradnl"/>
              </w:rPr>
              <w:t>7,313</w:t>
            </w:r>
          </w:p>
        </w:tc>
        <w:tc>
          <w:tcPr>
            <w:tcW w:w="1630" w:type="dxa"/>
          </w:tcPr>
          <w:p w:rsidR="00EC722A" w:rsidRPr="00660836" w:rsidRDefault="00EC722A" w:rsidP="00561BB9">
            <w:pPr>
              <w:jc w:val="center"/>
              <w:rPr>
                <w:rFonts w:ascii="Arial" w:eastAsia="Calibri" w:hAnsi="Arial" w:cs="Arial"/>
                <w:sz w:val="20"/>
                <w:szCs w:val="20"/>
                <w:lang w:val="es-ES_tradnl"/>
              </w:rPr>
            </w:pPr>
            <w:r w:rsidRPr="00660836">
              <w:rPr>
                <w:rFonts w:ascii="Arial" w:eastAsia="Calibri" w:hAnsi="Arial" w:cs="Arial"/>
                <w:sz w:val="20"/>
                <w:szCs w:val="20"/>
                <w:lang w:val="es-ES_tradnl"/>
              </w:rPr>
              <w:t>24,432</w:t>
            </w:r>
          </w:p>
        </w:tc>
      </w:tr>
    </w:tbl>
    <w:p w:rsidR="00EC722A" w:rsidRDefault="00EC722A" w:rsidP="00561BB9">
      <w:pPr>
        <w:rPr>
          <w:rFonts w:ascii="Arial" w:hAnsi="Arial" w:cs="Arial"/>
          <w:sz w:val="28"/>
          <w:szCs w:val="28"/>
        </w:rPr>
      </w:pPr>
    </w:p>
    <w:p w:rsidR="004A3F08" w:rsidRPr="004A3F08" w:rsidRDefault="00EC722A" w:rsidP="00561BB9">
      <w:pPr>
        <w:pStyle w:val="ListParagraph"/>
        <w:numPr>
          <w:ilvl w:val="0"/>
          <w:numId w:val="49"/>
        </w:numPr>
        <w:contextualSpacing/>
        <w:jc w:val="both"/>
        <w:rPr>
          <w:rFonts w:ascii="Arial" w:eastAsia="Calibri" w:hAnsi="Arial" w:cs="Arial"/>
          <w:sz w:val="24"/>
          <w:szCs w:val="24"/>
          <w:lang w:val="es-ES_tradnl"/>
        </w:rPr>
      </w:pPr>
      <w:r w:rsidRPr="004A3F08">
        <w:rPr>
          <w:rFonts w:ascii="Arial" w:hAnsi="Arial" w:cs="Arial"/>
          <w:sz w:val="24"/>
          <w:szCs w:val="24"/>
        </w:rPr>
        <w:t>A través de todos estos financiamientos, el Banco ha impactado a todos los sectores de nuestra economía, mayormente el comercio y los servicios.</w:t>
      </w:r>
    </w:p>
    <w:p w:rsidR="00EC722A" w:rsidRPr="004A3F08" w:rsidRDefault="004A3F08" w:rsidP="00561BB9">
      <w:pPr>
        <w:ind w:left="1440"/>
        <w:contextualSpacing/>
        <w:jc w:val="center"/>
        <w:rPr>
          <w:rFonts w:ascii="Arial" w:eastAsia="Calibri" w:hAnsi="Arial" w:cs="Arial"/>
          <w:sz w:val="24"/>
          <w:szCs w:val="24"/>
          <w:lang w:val="es-ES_tradnl"/>
        </w:rPr>
      </w:pPr>
      <w:r w:rsidRPr="00660836">
        <w:rPr>
          <w:noProof/>
          <w:lang w:eastAsia="es-PR"/>
        </w:rPr>
        <w:drawing>
          <wp:inline distT="0" distB="0" distL="0" distR="0" wp14:anchorId="1A55A165" wp14:editId="621D6705">
            <wp:extent cx="4218709" cy="1697182"/>
            <wp:effectExtent l="57150" t="57150" r="48895" b="558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22A" w:rsidRPr="00660836" w:rsidRDefault="00EC722A" w:rsidP="00561BB9">
      <w:pPr>
        <w:tabs>
          <w:tab w:val="left" w:pos="8376"/>
        </w:tabs>
        <w:ind w:left="720"/>
        <w:jc w:val="center"/>
        <w:rPr>
          <w:rFonts w:ascii="Arial" w:eastAsia="Calibri" w:hAnsi="Arial" w:cs="Arial"/>
          <w:sz w:val="24"/>
          <w:szCs w:val="24"/>
          <w:lang w:val="es-ES_tradnl"/>
        </w:rPr>
      </w:pPr>
    </w:p>
    <w:p w:rsidR="00EC722A"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Para el período del 1ro de enero de 2013 al 30 de junio de 2016, se han financiado 284 nuevos empresarios a través de 61 municipios para un total de $30.2 millones, contribuyendo a la creación de 2,455 empleos directos y 3,740 empleos indirectos en nuevas empresas.</w:t>
      </w:r>
    </w:p>
    <w:p w:rsidR="00EC722A" w:rsidRPr="004A3F08" w:rsidRDefault="00EC722A" w:rsidP="00561BB9">
      <w:pPr>
        <w:pStyle w:val="ListParagraph"/>
        <w:ind w:left="1080"/>
        <w:contextualSpacing/>
        <w:jc w:val="both"/>
        <w:rPr>
          <w:rFonts w:ascii="Arial" w:hAnsi="Arial" w:cs="Arial"/>
          <w:sz w:val="24"/>
          <w:szCs w:val="24"/>
        </w:rPr>
      </w:pPr>
    </w:p>
    <w:p w:rsidR="00EC722A"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Sin asignaciones especiales mantenemos nuestra independencia fiscal al mismo tiempo contribuimos al Fondo General con sobre $822,000.</w:t>
      </w:r>
    </w:p>
    <w:p w:rsidR="00EC722A" w:rsidRPr="0086558C" w:rsidRDefault="00EC722A" w:rsidP="00561BB9">
      <w:pPr>
        <w:pStyle w:val="ListParagraph"/>
        <w:ind w:left="1080"/>
        <w:jc w:val="both"/>
        <w:rPr>
          <w:rFonts w:ascii="Arial" w:hAnsi="Arial" w:cs="Arial"/>
          <w:sz w:val="28"/>
          <w:szCs w:val="28"/>
        </w:rPr>
      </w:pPr>
    </w:p>
    <w:p w:rsidR="00EC722A" w:rsidRPr="004A3F08" w:rsidRDefault="00EC722A" w:rsidP="00561BB9">
      <w:pPr>
        <w:pStyle w:val="ListParagraph"/>
        <w:numPr>
          <w:ilvl w:val="0"/>
          <w:numId w:val="49"/>
        </w:numPr>
        <w:contextualSpacing/>
        <w:jc w:val="both"/>
        <w:rPr>
          <w:rFonts w:ascii="Arial" w:hAnsi="Arial" w:cs="Arial"/>
          <w:sz w:val="24"/>
          <w:szCs w:val="24"/>
        </w:rPr>
      </w:pPr>
      <w:r w:rsidRPr="004A3F08">
        <w:rPr>
          <w:rFonts w:ascii="Arial" w:hAnsi="Arial" w:cs="Arial"/>
          <w:sz w:val="24"/>
          <w:szCs w:val="24"/>
        </w:rPr>
        <w:t>Control efectivo y reducción de gastos por $1.3 millones, equivalente a un 10.4%, en el presupuesto anual del cuatrienio.</w:t>
      </w:r>
    </w:p>
    <w:p w:rsidR="00EC722A" w:rsidRPr="004A3F08" w:rsidRDefault="00EC722A" w:rsidP="00561BB9">
      <w:pPr>
        <w:pStyle w:val="ListParagraph"/>
        <w:ind w:left="1080"/>
        <w:contextualSpacing/>
        <w:jc w:val="both"/>
        <w:rPr>
          <w:rFonts w:ascii="Arial" w:hAnsi="Arial" w:cs="Arial"/>
          <w:sz w:val="24"/>
          <w:szCs w:val="24"/>
        </w:rPr>
      </w:pPr>
    </w:p>
    <w:p w:rsidR="00EC722A" w:rsidRPr="004A3F08" w:rsidRDefault="00EC722A" w:rsidP="00561BB9">
      <w:pPr>
        <w:pStyle w:val="ListParagraph"/>
        <w:numPr>
          <w:ilvl w:val="0"/>
          <w:numId w:val="49"/>
        </w:numPr>
        <w:contextualSpacing/>
        <w:jc w:val="both"/>
        <w:rPr>
          <w:rFonts w:ascii="Arial" w:hAnsi="Arial" w:cs="Arial"/>
          <w:b/>
          <w:sz w:val="28"/>
          <w:szCs w:val="28"/>
          <w:u w:val="single"/>
        </w:rPr>
      </w:pPr>
      <w:r w:rsidRPr="004A3F08">
        <w:rPr>
          <w:rFonts w:ascii="Arial" w:hAnsi="Arial" w:cs="Arial"/>
          <w:sz w:val="24"/>
          <w:szCs w:val="24"/>
        </w:rPr>
        <w:t xml:space="preserve">Reducción sistemática del Gasto Operacional (Presupuesto OGP). Hemos controlado los gastos operacionales en el presupuesto para los años fiscales 2012-2013, 2013-14, 2014-15 y 2015-16. El ahorro presupuestario </w:t>
      </w:r>
      <w:r w:rsidRPr="004A3F08">
        <w:rPr>
          <w:rFonts w:ascii="Arial" w:hAnsi="Arial" w:cs="Arial"/>
          <w:sz w:val="24"/>
          <w:szCs w:val="24"/>
        </w:rPr>
        <w:lastRenderedPageBreak/>
        <w:t>de los últimos cuatro años fiscales finalizados, totaliza $2</w:t>
      </w:r>
      <w:proofErr w:type="gramStart"/>
      <w:r w:rsidRPr="004A3F08">
        <w:rPr>
          <w:rFonts w:ascii="Arial" w:hAnsi="Arial" w:cs="Arial"/>
          <w:sz w:val="24"/>
          <w:szCs w:val="24"/>
        </w:rPr>
        <w:t>,172,138</w:t>
      </w:r>
      <w:proofErr w:type="gramEnd"/>
      <w:r w:rsidRPr="004A3F08">
        <w:rPr>
          <w:rFonts w:ascii="Arial" w:hAnsi="Arial" w:cs="Arial"/>
          <w:sz w:val="24"/>
          <w:szCs w:val="24"/>
        </w:rPr>
        <w:t xml:space="preserve"> de un presupuesto promedio anual de $12 millones.</w:t>
      </w:r>
    </w:p>
    <w:tbl>
      <w:tblPr>
        <w:tblStyle w:val="TableGrid"/>
        <w:tblW w:w="7964" w:type="dxa"/>
        <w:tblInd w:w="1234" w:type="dxa"/>
        <w:tblLook w:val="04A0" w:firstRow="1" w:lastRow="0" w:firstColumn="1" w:lastColumn="0" w:noHBand="0" w:noVBand="1"/>
      </w:tblPr>
      <w:tblGrid>
        <w:gridCol w:w="1772"/>
        <w:gridCol w:w="3360"/>
        <w:gridCol w:w="2832"/>
      </w:tblGrid>
      <w:tr w:rsidR="00EC722A" w:rsidRPr="00660836" w:rsidTr="004A3F08">
        <w:trPr>
          <w:trHeight w:val="297"/>
        </w:trPr>
        <w:tc>
          <w:tcPr>
            <w:tcW w:w="1772" w:type="dxa"/>
            <w:shd w:val="clear" w:color="auto" w:fill="BFBFBF" w:themeFill="background1" w:themeFillShade="BF"/>
            <w:noWrap/>
          </w:tcPr>
          <w:p w:rsidR="00EC722A" w:rsidRPr="00660836" w:rsidRDefault="00EC722A" w:rsidP="00561BB9">
            <w:pPr>
              <w:jc w:val="center"/>
              <w:rPr>
                <w:rFonts w:ascii="Arial" w:hAnsi="Arial" w:cs="Arial"/>
                <w:b/>
                <w:sz w:val="20"/>
                <w:szCs w:val="20"/>
              </w:rPr>
            </w:pPr>
            <w:proofErr w:type="spellStart"/>
            <w:r w:rsidRPr="00660836">
              <w:rPr>
                <w:rFonts w:ascii="Arial" w:hAnsi="Arial" w:cs="Arial"/>
                <w:b/>
                <w:sz w:val="20"/>
                <w:szCs w:val="20"/>
              </w:rPr>
              <w:t>Año</w:t>
            </w:r>
            <w:proofErr w:type="spellEnd"/>
            <w:r w:rsidRPr="00660836">
              <w:rPr>
                <w:rFonts w:ascii="Arial" w:hAnsi="Arial" w:cs="Arial"/>
                <w:b/>
                <w:sz w:val="20"/>
                <w:szCs w:val="20"/>
              </w:rPr>
              <w:t xml:space="preserve"> Fiscal</w:t>
            </w:r>
          </w:p>
        </w:tc>
        <w:tc>
          <w:tcPr>
            <w:tcW w:w="3360" w:type="dxa"/>
            <w:shd w:val="clear" w:color="auto" w:fill="BFBFBF" w:themeFill="background1" w:themeFillShade="BF"/>
            <w:noWrap/>
          </w:tcPr>
          <w:p w:rsidR="00EC722A" w:rsidRPr="00660836" w:rsidRDefault="00EC722A" w:rsidP="00561BB9">
            <w:pPr>
              <w:jc w:val="center"/>
              <w:rPr>
                <w:rFonts w:ascii="Arial" w:hAnsi="Arial" w:cs="Arial"/>
                <w:b/>
                <w:sz w:val="20"/>
                <w:szCs w:val="20"/>
              </w:rPr>
            </w:pPr>
            <w:proofErr w:type="spellStart"/>
            <w:r w:rsidRPr="00660836">
              <w:rPr>
                <w:rFonts w:ascii="Arial" w:hAnsi="Arial" w:cs="Arial"/>
                <w:b/>
                <w:sz w:val="20"/>
                <w:szCs w:val="20"/>
              </w:rPr>
              <w:t>Gastos</w:t>
            </w:r>
            <w:proofErr w:type="spellEnd"/>
          </w:p>
        </w:tc>
        <w:tc>
          <w:tcPr>
            <w:tcW w:w="2832" w:type="dxa"/>
            <w:shd w:val="clear" w:color="auto" w:fill="BFBFBF" w:themeFill="background1" w:themeFillShade="BF"/>
            <w:noWrap/>
          </w:tcPr>
          <w:p w:rsidR="00EC722A" w:rsidRPr="00660836" w:rsidRDefault="00EC722A" w:rsidP="00561BB9">
            <w:pPr>
              <w:ind w:left="1080"/>
              <w:contextualSpacing/>
              <w:rPr>
                <w:rFonts w:ascii="Arial" w:hAnsi="Arial" w:cs="Arial"/>
                <w:b/>
                <w:sz w:val="20"/>
                <w:szCs w:val="20"/>
              </w:rPr>
            </w:pPr>
            <w:proofErr w:type="spellStart"/>
            <w:r w:rsidRPr="00660836">
              <w:rPr>
                <w:rFonts w:ascii="Arial" w:hAnsi="Arial" w:cs="Arial"/>
                <w:b/>
                <w:sz w:val="20"/>
                <w:szCs w:val="20"/>
              </w:rPr>
              <w:t>Cambio</w:t>
            </w:r>
            <w:proofErr w:type="spellEnd"/>
          </w:p>
        </w:tc>
      </w:tr>
      <w:tr w:rsidR="00EC722A" w:rsidRPr="00660836" w:rsidTr="004A3F08">
        <w:trPr>
          <w:trHeight w:val="297"/>
        </w:trPr>
        <w:tc>
          <w:tcPr>
            <w:tcW w:w="1772"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2011-12</w:t>
            </w:r>
          </w:p>
        </w:tc>
        <w:tc>
          <w:tcPr>
            <w:tcW w:w="33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11,508,050</w:t>
            </w:r>
          </w:p>
        </w:tc>
        <w:tc>
          <w:tcPr>
            <w:tcW w:w="2832"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N/A</w:t>
            </w:r>
          </w:p>
        </w:tc>
      </w:tr>
      <w:tr w:rsidR="00EC722A" w:rsidRPr="00660836" w:rsidTr="004A3F08">
        <w:trPr>
          <w:trHeight w:val="297"/>
        </w:trPr>
        <w:tc>
          <w:tcPr>
            <w:tcW w:w="1772"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2012-13</w:t>
            </w:r>
          </w:p>
        </w:tc>
        <w:tc>
          <w:tcPr>
            <w:tcW w:w="33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11,448,693</w:t>
            </w:r>
          </w:p>
        </w:tc>
        <w:tc>
          <w:tcPr>
            <w:tcW w:w="2832"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-0.52%</w:t>
            </w:r>
          </w:p>
        </w:tc>
      </w:tr>
      <w:tr w:rsidR="00EC722A" w:rsidRPr="00660836" w:rsidTr="004A3F08">
        <w:trPr>
          <w:trHeight w:val="297"/>
        </w:trPr>
        <w:tc>
          <w:tcPr>
            <w:tcW w:w="1772"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2013-14</w:t>
            </w:r>
          </w:p>
        </w:tc>
        <w:tc>
          <w:tcPr>
            <w:tcW w:w="33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11,147,192</w:t>
            </w:r>
          </w:p>
        </w:tc>
        <w:tc>
          <w:tcPr>
            <w:tcW w:w="2832"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-2.56%</w:t>
            </w:r>
          </w:p>
        </w:tc>
      </w:tr>
      <w:tr w:rsidR="00EC722A" w:rsidRPr="00660836" w:rsidTr="004A3F08">
        <w:trPr>
          <w:trHeight w:val="297"/>
        </w:trPr>
        <w:tc>
          <w:tcPr>
            <w:tcW w:w="1772"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2014-15</w:t>
            </w:r>
          </w:p>
        </w:tc>
        <w:tc>
          <w:tcPr>
            <w:tcW w:w="336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 xml:space="preserve">      11,198,510 (*)</w:t>
            </w:r>
          </w:p>
        </w:tc>
        <w:tc>
          <w:tcPr>
            <w:tcW w:w="2832"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0.46%</w:t>
            </w:r>
          </w:p>
        </w:tc>
      </w:tr>
      <w:tr w:rsidR="00EC722A" w:rsidRPr="00660836" w:rsidTr="004A3F08">
        <w:trPr>
          <w:trHeight w:val="297"/>
        </w:trPr>
        <w:tc>
          <w:tcPr>
            <w:tcW w:w="1772"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2015-16</w:t>
            </w:r>
          </w:p>
        </w:tc>
        <w:tc>
          <w:tcPr>
            <w:tcW w:w="336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 xml:space="preserve">       11,540,467 (**)</w:t>
            </w:r>
          </w:p>
        </w:tc>
        <w:tc>
          <w:tcPr>
            <w:tcW w:w="2832"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3.05%</w:t>
            </w:r>
          </w:p>
        </w:tc>
      </w:tr>
    </w:tbl>
    <w:p w:rsidR="00EC722A" w:rsidRPr="004A3F08" w:rsidRDefault="00EC722A" w:rsidP="00561BB9">
      <w:pPr>
        <w:ind w:left="1080"/>
        <w:contextualSpacing/>
        <w:jc w:val="both"/>
        <w:rPr>
          <w:rFonts w:ascii="Arial" w:hAnsi="Arial" w:cs="Arial"/>
          <w:i/>
          <w:sz w:val="18"/>
          <w:szCs w:val="18"/>
        </w:rPr>
      </w:pPr>
      <w:r w:rsidRPr="004A3F08">
        <w:rPr>
          <w:rFonts w:ascii="Arial" w:hAnsi="Arial" w:cs="Arial"/>
          <w:i/>
          <w:sz w:val="18"/>
          <w:szCs w:val="18"/>
        </w:rPr>
        <w:t>(*) Incluye $417,629 aportación al Fondo de Promoción a la Actividad Económica, conforme a disposiciones de Ley 66.  Sin este desembolso, el gasto del año hubiese sido $10</w:t>
      </w:r>
      <w:proofErr w:type="gramStart"/>
      <w:r w:rsidRPr="004A3F08">
        <w:rPr>
          <w:rFonts w:ascii="Arial" w:hAnsi="Arial" w:cs="Arial"/>
          <w:i/>
          <w:sz w:val="18"/>
          <w:szCs w:val="18"/>
        </w:rPr>
        <w:t>,780,881</w:t>
      </w:r>
      <w:proofErr w:type="gramEnd"/>
      <w:r w:rsidRPr="004A3F08">
        <w:rPr>
          <w:rFonts w:ascii="Arial" w:hAnsi="Arial" w:cs="Arial"/>
          <w:i/>
          <w:sz w:val="18"/>
          <w:szCs w:val="18"/>
        </w:rPr>
        <w:t xml:space="preserve"> y un -3.29% menor al 2013-14.</w:t>
      </w:r>
    </w:p>
    <w:p w:rsidR="00EC722A" w:rsidRDefault="00EC722A" w:rsidP="00561BB9">
      <w:pPr>
        <w:ind w:left="1080"/>
        <w:contextualSpacing/>
        <w:jc w:val="both"/>
        <w:rPr>
          <w:rFonts w:ascii="Arial" w:hAnsi="Arial" w:cs="Arial"/>
          <w:i/>
          <w:sz w:val="18"/>
          <w:szCs w:val="18"/>
        </w:rPr>
      </w:pPr>
      <w:r w:rsidRPr="004A3F08">
        <w:rPr>
          <w:rFonts w:ascii="Arial" w:hAnsi="Arial" w:cs="Arial"/>
          <w:i/>
          <w:sz w:val="18"/>
          <w:szCs w:val="18"/>
        </w:rPr>
        <w:t>(**) Incluye $322,088 aportación al Fondo de Promoción a la Actividad Económica conforme a disposiciones de Ley 66, y $171,375 reserva presupuestaria requerida por el Boletín Administrativo Núm. OE-2015-027.  Sin estos gastos, el gasto del año hubiese sido $11</w:t>
      </w:r>
      <w:proofErr w:type="gramStart"/>
      <w:r w:rsidRPr="004A3F08">
        <w:rPr>
          <w:rFonts w:ascii="Arial" w:hAnsi="Arial" w:cs="Arial"/>
          <w:i/>
          <w:sz w:val="18"/>
          <w:szCs w:val="18"/>
        </w:rPr>
        <w:t>,047,070</w:t>
      </w:r>
      <w:proofErr w:type="gramEnd"/>
      <w:r w:rsidRPr="004A3F08">
        <w:rPr>
          <w:rFonts w:ascii="Arial" w:hAnsi="Arial" w:cs="Arial"/>
          <w:i/>
          <w:sz w:val="18"/>
          <w:szCs w:val="18"/>
        </w:rPr>
        <w:t xml:space="preserve"> y un -0.90% menor al 2013-14.</w:t>
      </w:r>
    </w:p>
    <w:p w:rsidR="004A3F08" w:rsidRPr="004A3F08" w:rsidRDefault="004A3F08" w:rsidP="00561BB9">
      <w:pPr>
        <w:ind w:left="1080"/>
        <w:contextualSpacing/>
        <w:jc w:val="both"/>
        <w:rPr>
          <w:rFonts w:ascii="Arial" w:hAnsi="Arial" w:cs="Arial"/>
          <w:i/>
          <w:sz w:val="18"/>
          <w:szCs w:val="18"/>
        </w:rPr>
      </w:pPr>
    </w:p>
    <w:p w:rsidR="00EC722A" w:rsidRPr="006B387D" w:rsidRDefault="00EC722A" w:rsidP="00561BB9">
      <w:pPr>
        <w:pStyle w:val="ListParagraph"/>
        <w:numPr>
          <w:ilvl w:val="0"/>
          <w:numId w:val="49"/>
        </w:numPr>
        <w:contextualSpacing/>
        <w:jc w:val="both"/>
        <w:rPr>
          <w:rFonts w:ascii="Arial" w:hAnsi="Arial" w:cs="Arial"/>
          <w:sz w:val="24"/>
          <w:szCs w:val="24"/>
        </w:rPr>
      </w:pPr>
      <w:r w:rsidRPr="006B387D">
        <w:rPr>
          <w:rFonts w:ascii="Arial" w:hAnsi="Arial" w:cs="Arial"/>
          <w:sz w:val="24"/>
          <w:szCs w:val="24"/>
        </w:rPr>
        <w:t>Reducción sistemática del Gasto de Nómina:</w:t>
      </w:r>
    </w:p>
    <w:tbl>
      <w:tblPr>
        <w:tblStyle w:val="TableGrid"/>
        <w:tblW w:w="8076" w:type="dxa"/>
        <w:tblInd w:w="1122" w:type="dxa"/>
        <w:tblLook w:val="04A0" w:firstRow="1" w:lastRow="0" w:firstColumn="1" w:lastColumn="0" w:noHBand="0" w:noVBand="1"/>
      </w:tblPr>
      <w:tblGrid>
        <w:gridCol w:w="2416"/>
        <w:gridCol w:w="2030"/>
        <w:gridCol w:w="3630"/>
      </w:tblGrid>
      <w:tr w:rsidR="00EC722A" w:rsidRPr="00660836" w:rsidTr="004A3F08">
        <w:trPr>
          <w:trHeight w:val="297"/>
        </w:trPr>
        <w:tc>
          <w:tcPr>
            <w:tcW w:w="2416" w:type="dxa"/>
            <w:shd w:val="clear" w:color="auto" w:fill="BFBFBF" w:themeFill="background1" w:themeFillShade="BF"/>
            <w:noWrap/>
          </w:tcPr>
          <w:p w:rsidR="00EC722A" w:rsidRPr="00660836" w:rsidRDefault="00EC722A" w:rsidP="00561BB9">
            <w:pPr>
              <w:jc w:val="center"/>
              <w:rPr>
                <w:rFonts w:ascii="Arial" w:hAnsi="Arial" w:cs="Arial"/>
                <w:b/>
                <w:sz w:val="20"/>
                <w:szCs w:val="20"/>
                <w:lang w:val="es-PR"/>
              </w:rPr>
            </w:pPr>
            <w:r w:rsidRPr="00660836">
              <w:rPr>
                <w:rFonts w:ascii="Arial" w:hAnsi="Arial" w:cs="Arial"/>
                <w:b/>
                <w:sz w:val="20"/>
                <w:szCs w:val="20"/>
                <w:lang w:val="es-PR"/>
              </w:rPr>
              <w:t>Año Fiscal</w:t>
            </w:r>
          </w:p>
        </w:tc>
        <w:tc>
          <w:tcPr>
            <w:tcW w:w="2030" w:type="dxa"/>
            <w:shd w:val="clear" w:color="auto" w:fill="BFBFBF" w:themeFill="background1" w:themeFillShade="BF"/>
            <w:noWrap/>
          </w:tcPr>
          <w:p w:rsidR="00EC722A" w:rsidRPr="00660836" w:rsidRDefault="00EC722A" w:rsidP="00561BB9">
            <w:pPr>
              <w:ind w:left="1080"/>
              <w:contextualSpacing/>
              <w:rPr>
                <w:rFonts w:ascii="Arial" w:hAnsi="Arial" w:cs="Arial"/>
                <w:b/>
                <w:sz w:val="20"/>
                <w:szCs w:val="20"/>
                <w:lang w:val="es-PR"/>
              </w:rPr>
            </w:pPr>
            <w:r w:rsidRPr="00660836">
              <w:rPr>
                <w:rFonts w:ascii="Arial" w:hAnsi="Arial" w:cs="Arial"/>
                <w:b/>
                <w:sz w:val="20"/>
                <w:szCs w:val="20"/>
                <w:lang w:val="es-PR"/>
              </w:rPr>
              <w:t>Nómina Total</w:t>
            </w:r>
          </w:p>
        </w:tc>
        <w:tc>
          <w:tcPr>
            <w:tcW w:w="3630" w:type="dxa"/>
            <w:shd w:val="clear" w:color="auto" w:fill="BFBFBF" w:themeFill="background1" w:themeFillShade="BF"/>
            <w:noWrap/>
          </w:tcPr>
          <w:p w:rsidR="00EC722A" w:rsidRPr="00660836" w:rsidRDefault="00EC722A" w:rsidP="00561BB9">
            <w:pPr>
              <w:ind w:left="1080"/>
              <w:contextualSpacing/>
              <w:rPr>
                <w:rFonts w:ascii="Arial" w:hAnsi="Arial" w:cs="Arial"/>
                <w:b/>
                <w:sz w:val="20"/>
                <w:szCs w:val="20"/>
                <w:lang w:val="es-PR"/>
              </w:rPr>
            </w:pPr>
            <w:r w:rsidRPr="00660836">
              <w:rPr>
                <w:rFonts w:ascii="Arial" w:hAnsi="Arial" w:cs="Arial"/>
                <w:b/>
                <w:sz w:val="20"/>
                <w:szCs w:val="20"/>
                <w:lang w:val="es-PR"/>
              </w:rPr>
              <w:t>Cambio</w:t>
            </w:r>
          </w:p>
        </w:tc>
      </w:tr>
      <w:tr w:rsidR="00EC722A" w:rsidRPr="00660836" w:rsidTr="004A3F08">
        <w:trPr>
          <w:trHeight w:val="297"/>
        </w:trPr>
        <w:tc>
          <w:tcPr>
            <w:tcW w:w="2416"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2011-12</w:t>
            </w:r>
          </w:p>
        </w:tc>
        <w:tc>
          <w:tcPr>
            <w:tcW w:w="203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8,702,484</w:t>
            </w:r>
          </w:p>
        </w:tc>
        <w:tc>
          <w:tcPr>
            <w:tcW w:w="363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N/A</w:t>
            </w:r>
          </w:p>
        </w:tc>
      </w:tr>
      <w:tr w:rsidR="00EC722A" w:rsidRPr="00660836" w:rsidTr="004A3F08">
        <w:trPr>
          <w:trHeight w:val="297"/>
        </w:trPr>
        <w:tc>
          <w:tcPr>
            <w:tcW w:w="2416"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2012-13</w:t>
            </w:r>
          </w:p>
        </w:tc>
        <w:tc>
          <w:tcPr>
            <w:tcW w:w="2030" w:type="dxa"/>
            <w:noWrap/>
            <w:hideMark/>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8,872,255</w:t>
            </w:r>
          </w:p>
        </w:tc>
        <w:tc>
          <w:tcPr>
            <w:tcW w:w="3630" w:type="dxa"/>
            <w:noWrap/>
          </w:tcPr>
          <w:p w:rsidR="00EC722A" w:rsidRPr="00660836" w:rsidRDefault="00EC722A" w:rsidP="00561BB9">
            <w:pPr>
              <w:jc w:val="center"/>
              <w:rPr>
                <w:rFonts w:ascii="Arial" w:hAnsi="Arial" w:cs="Arial"/>
                <w:sz w:val="20"/>
                <w:szCs w:val="20"/>
                <w:lang w:val="es-PR"/>
              </w:rPr>
            </w:pPr>
            <w:r w:rsidRPr="00660836">
              <w:rPr>
                <w:rFonts w:ascii="Arial" w:hAnsi="Arial" w:cs="Arial"/>
                <w:sz w:val="20"/>
                <w:szCs w:val="20"/>
                <w:lang w:val="es-PR"/>
              </w:rPr>
              <w:t>1.95%</w:t>
            </w:r>
          </w:p>
        </w:tc>
      </w:tr>
      <w:tr w:rsidR="00EC722A" w:rsidRPr="00660836" w:rsidTr="004A3F08">
        <w:trPr>
          <w:trHeight w:val="297"/>
        </w:trPr>
        <w:tc>
          <w:tcPr>
            <w:tcW w:w="2416"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lang w:val="es-PR"/>
              </w:rPr>
              <w:t>20</w:t>
            </w:r>
            <w:r w:rsidRPr="00660836">
              <w:rPr>
                <w:rFonts w:ascii="Arial" w:hAnsi="Arial" w:cs="Arial"/>
                <w:sz w:val="20"/>
                <w:szCs w:val="20"/>
              </w:rPr>
              <w:t>13-14</w:t>
            </w:r>
          </w:p>
        </w:tc>
        <w:tc>
          <w:tcPr>
            <w:tcW w:w="203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8,553,470</w:t>
            </w:r>
          </w:p>
        </w:tc>
        <w:tc>
          <w:tcPr>
            <w:tcW w:w="363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-3.59%</w:t>
            </w:r>
          </w:p>
        </w:tc>
      </w:tr>
      <w:tr w:rsidR="00EC722A" w:rsidRPr="00660836" w:rsidTr="004A3F08">
        <w:trPr>
          <w:trHeight w:val="297"/>
        </w:trPr>
        <w:tc>
          <w:tcPr>
            <w:tcW w:w="2416"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2014-15</w:t>
            </w:r>
          </w:p>
        </w:tc>
        <w:tc>
          <w:tcPr>
            <w:tcW w:w="2030" w:type="dxa"/>
            <w:noWrap/>
            <w:hideMark/>
          </w:tcPr>
          <w:p w:rsidR="00EC722A" w:rsidRPr="00660836" w:rsidRDefault="00EC722A" w:rsidP="00561BB9">
            <w:pPr>
              <w:jc w:val="center"/>
              <w:rPr>
                <w:rFonts w:ascii="Arial" w:hAnsi="Arial" w:cs="Arial"/>
                <w:sz w:val="20"/>
                <w:szCs w:val="20"/>
              </w:rPr>
            </w:pPr>
            <w:r w:rsidRPr="00660836">
              <w:rPr>
                <w:rFonts w:ascii="Arial" w:hAnsi="Arial" w:cs="Arial"/>
                <w:sz w:val="20"/>
                <w:szCs w:val="20"/>
              </w:rPr>
              <w:t>8,034,262</w:t>
            </w:r>
          </w:p>
        </w:tc>
        <w:tc>
          <w:tcPr>
            <w:tcW w:w="363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-6.07%</w:t>
            </w:r>
          </w:p>
        </w:tc>
      </w:tr>
      <w:tr w:rsidR="00EC722A" w:rsidRPr="00660836" w:rsidTr="004A3F08">
        <w:trPr>
          <w:trHeight w:val="297"/>
        </w:trPr>
        <w:tc>
          <w:tcPr>
            <w:tcW w:w="2416"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2015-16</w:t>
            </w:r>
          </w:p>
        </w:tc>
        <w:tc>
          <w:tcPr>
            <w:tcW w:w="203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 xml:space="preserve">      8,357,420  (*)</w:t>
            </w:r>
          </w:p>
        </w:tc>
        <w:tc>
          <w:tcPr>
            <w:tcW w:w="3630" w:type="dxa"/>
            <w:noWrap/>
          </w:tcPr>
          <w:p w:rsidR="00EC722A" w:rsidRPr="00660836" w:rsidRDefault="00EC722A" w:rsidP="00561BB9">
            <w:pPr>
              <w:jc w:val="center"/>
              <w:rPr>
                <w:rFonts w:ascii="Arial" w:hAnsi="Arial" w:cs="Arial"/>
                <w:sz w:val="20"/>
                <w:szCs w:val="20"/>
              </w:rPr>
            </w:pPr>
            <w:r w:rsidRPr="00660836">
              <w:rPr>
                <w:rFonts w:ascii="Arial" w:hAnsi="Arial" w:cs="Arial"/>
                <w:sz w:val="20"/>
                <w:szCs w:val="20"/>
              </w:rPr>
              <w:t>4.02%</w:t>
            </w:r>
          </w:p>
        </w:tc>
      </w:tr>
    </w:tbl>
    <w:p w:rsidR="00EC722A" w:rsidRDefault="00EC722A" w:rsidP="00561BB9">
      <w:pPr>
        <w:contextualSpacing/>
        <w:jc w:val="both"/>
        <w:rPr>
          <w:rFonts w:ascii="Arial" w:hAnsi="Arial" w:cs="Arial"/>
          <w:i/>
        </w:rPr>
      </w:pPr>
    </w:p>
    <w:p w:rsidR="00EC722A" w:rsidRPr="004A3F08" w:rsidRDefault="00EC722A" w:rsidP="00561BB9">
      <w:pPr>
        <w:ind w:left="990"/>
        <w:contextualSpacing/>
        <w:jc w:val="both"/>
        <w:rPr>
          <w:rFonts w:ascii="Arial" w:hAnsi="Arial" w:cs="Arial"/>
          <w:i/>
          <w:sz w:val="16"/>
          <w:szCs w:val="16"/>
        </w:rPr>
      </w:pPr>
      <w:r w:rsidRPr="004A3F08">
        <w:rPr>
          <w:rFonts w:ascii="Arial" w:hAnsi="Arial" w:cs="Arial"/>
          <w:i/>
          <w:sz w:val="16"/>
          <w:szCs w:val="16"/>
        </w:rPr>
        <w:t>(*)Principalmente, debido a un aumento de $180,837 en el costo del plan médico y un aumento de $54,455 en las aportaciones patronales al Plan de Pensión.</w:t>
      </w:r>
    </w:p>
    <w:p w:rsidR="00EC722A" w:rsidRPr="0082309E" w:rsidRDefault="00EC722A" w:rsidP="00561BB9">
      <w:pPr>
        <w:pStyle w:val="ListParagraph"/>
        <w:ind w:left="1080"/>
        <w:jc w:val="both"/>
        <w:rPr>
          <w:rFonts w:ascii="Arial" w:hAnsi="Arial" w:cs="Arial"/>
          <w:sz w:val="28"/>
          <w:szCs w:val="28"/>
          <w:lang w:val="es-ES_tradnl"/>
        </w:rPr>
      </w:pPr>
    </w:p>
    <w:p w:rsidR="00EC722A" w:rsidRPr="006B387D" w:rsidRDefault="00EC722A" w:rsidP="00561BB9">
      <w:pPr>
        <w:pStyle w:val="ListParagraph"/>
        <w:numPr>
          <w:ilvl w:val="0"/>
          <w:numId w:val="49"/>
        </w:numPr>
        <w:contextualSpacing/>
        <w:jc w:val="both"/>
        <w:rPr>
          <w:rFonts w:ascii="Arial" w:hAnsi="Arial" w:cs="Arial"/>
          <w:sz w:val="24"/>
          <w:szCs w:val="24"/>
        </w:rPr>
      </w:pPr>
      <w:r w:rsidRPr="006B387D">
        <w:rPr>
          <w:rFonts w:ascii="Arial" w:hAnsi="Arial" w:cs="Arial"/>
          <w:sz w:val="24"/>
          <w:szCs w:val="24"/>
        </w:rPr>
        <w:t xml:space="preserve">Nos mantenemos en cumplimiento con todos los requisitos reglamentarios, incluyendo aquellos de la Oficina del Comisionado de Instituciones Financieras, Oficina del Contralor de Puerto Rico, </w:t>
      </w:r>
      <w:proofErr w:type="spellStart"/>
      <w:r w:rsidRPr="006B387D">
        <w:rPr>
          <w:rFonts w:ascii="Arial" w:hAnsi="Arial" w:cs="Arial"/>
          <w:sz w:val="24"/>
          <w:szCs w:val="24"/>
        </w:rPr>
        <w:t>Economic</w:t>
      </w:r>
      <w:proofErr w:type="spellEnd"/>
      <w:r w:rsidRPr="006B387D">
        <w:rPr>
          <w:rFonts w:ascii="Arial" w:hAnsi="Arial" w:cs="Arial"/>
          <w:sz w:val="24"/>
          <w:szCs w:val="24"/>
        </w:rPr>
        <w:t xml:space="preserve"> </w:t>
      </w:r>
      <w:proofErr w:type="spellStart"/>
      <w:r w:rsidRPr="006B387D">
        <w:rPr>
          <w:rFonts w:ascii="Arial" w:hAnsi="Arial" w:cs="Arial"/>
          <w:sz w:val="24"/>
          <w:szCs w:val="24"/>
        </w:rPr>
        <w:t>Development</w:t>
      </w:r>
      <w:proofErr w:type="spellEnd"/>
      <w:r w:rsidRPr="006B387D">
        <w:rPr>
          <w:rFonts w:ascii="Arial" w:hAnsi="Arial" w:cs="Arial"/>
          <w:sz w:val="24"/>
          <w:szCs w:val="24"/>
        </w:rPr>
        <w:t xml:space="preserve"> </w:t>
      </w:r>
      <w:proofErr w:type="spellStart"/>
      <w:r w:rsidRPr="006B387D">
        <w:rPr>
          <w:rFonts w:ascii="Arial" w:hAnsi="Arial" w:cs="Arial"/>
          <w:sz w:val="24"/>
          <w:szCs w:val="24"/>
        </w:rPr>
        <w:t>Administration</w:t>
      </w:r>
      <w:proofErr w:type="spellEnd"/>
      <w:r w:rsidRPr="006B387D">
        <w:rPr>
          <w:rFonts w:ascii="Arial" w:hAnsi="Arial" w:cs="Arial"/>
          <w:sz w:val="24"/>
          <w:szCs w:val="24"/>
        </w:rPr>
        <w:t xml:space="preserve"> (</w:t>
      </w:r>
      <w:proofErr w:type="spellStart"/>
      <w:r w:rsidRPr="006B387D">
        <w:rPr>
          <w:rFonts w:ascii="Arial" w:hAnsi="Arial" w:cs="Arial"/>
          <w:sz w:val="24"/>
          <w:szCs w:val="24"/>
        </w:rPr>
        <w:t>Department</w:t>
      </w:r>
      <w:proofErr w:type="spellEnd"/>
      <w:r w:rsidRPr="006B387D">
        <w:rPr>
          <w:rFonts w:ascii="Arial" w:hAnsi="Arial" w:cs="Arial"/>
          <w:sz w:val="24"/>
          <w:szCs w:val="24"/>
        </w:rPr>
        <w:t xml:space="preserve"> of Commerce), </w:t>
      </w:r>
      <w:proofErr w:type="spellStart"/>
      <w:r w:rsidRPr="006B387D">
        <w:rPr>
          <w:rFonts w:ascii="Arial" w:hAnsi="Arial" w:cs="Arial"/>
          <w:sz w:val="24"/>
          <w:szCs w:val="24"/>
        </w:rPr>
        <w:t>State</w:t>
      </w:r>
      <w:proofErr w:type="spellEnd"/>
      <w:r w:rsidRPr="006B387D">
        <w:rPr>
          <w:rFonts w:ascii="Arial" w:hAnsi="Arial" w:cs="Arial"/>
          <w:sz w:val="24"/>
          <w:szCs w:val="24"/>
        </w:rPr>
        <w:t xml:space="preserve"> Small Business </w:t>
      </w:r>
      <w:proofErr w:type="spellStart"/>
      <w:r w:rsidRPr="006B387D">
        <w:rPr>
          <w:rFonts w:ascii="Arial" w:hAnsi="Arial" w:cs="Arial"/>
          <w:sz w:val="24"/>
          <w:szCs w:val="24"/>
        </w:rPr>
        <w:t>Credit</w:t>
      </w:r>
      <w:proofErr w:type="spellEnd"/>
      <w:r w:rsidRPr="006B387D">
        <w:rPr>
          <w:rFonts w:ascii="Arial" w:hAnsi="Arial" w:cs="Arial"/>
          <w:sz w:val="24"/>
          <w:szCs w:val="24"/>
        </w:rPr>
        <w:t xml:space="preserve"> </w:t>
      </w:r>
      <w:proofErr w:type="spellStart"/>
      <w:r w:rsidRPr="006B387D">
        <w:rPr>
          <w:rFonts w:ascii="Arial" w:hAnsi="Arial" w:cs="Arial"/>
          <w:sz w:val="24"/>
          <w:szCs w:val="24"/>
        </w:rPr>
        <w:t>Initiative</w:t>
      </w:r>
      <w:proofErr w:type="spellEnd"/>
      <w:r w:rsidRPr="006B387D">
        <w:rPr>
          <w:rFonts w:ascii="Arial" w:hAnsi="Arial" w:cs="Arial"/>
          <w:sz w:val="24"/>
          <w:szCs w:val="24"/>
        </w:rPr>
        <w:t xml:space="preserve"> (</w:t>
      </w:r>
      <w:proofErr w:type="spellStart"/>
      <w:r w:rsidRPr="006B387D">
        <w:rPr>
          <w:rFonts w:ascii="Arial" w:hAnsi="Arial" w:cs="Arial"/>
          <w:sz w:val="24"/>
          <w:szCs w:val="24"/>
        </w:rPr>
        <w:t>Department</w:t>
      </w:r>
      <w:proofErr w:type="spellEnd"/>
      <w:r w:rsidRPr="006B387D">
        <w:rPr>
          <w:rFonts w:ascii="Arial" w:hAnsi="Arial" w:cs="Arial"/>
          <w:sz w:val="24"/>
          <w:szCs w:val="24"/>
        </w:rPr>
        <w:t xml:space="preserve"> of </w:t>
      </w:r>
      <w:proofErr w:type="spellStart"/>
      <w:r w:rsidRPr="006B387D">
        <w:rPr>
          <w:rFonts w:ascii="Arial" w:hAnsi="Arial" w:cs="Arial"/>
          <w:sz w:val="24"/>
          <w:szCs w:val="24"/>
        </w:rPr>
        <w:t>Treasury</w:t>
      </w:r>
      <w:proofErr w:type="spellEnd"/>
      <w:r w:rsidRPr="006B387D">
        <w:rPr>
          <w:rFonts w:ascii="Arial" w:hAnsi="Arial" w:cs="Arial"/>
          <w:sz w:val="24"/>
          <w:szCs w:val="24"/>
        </w:rPr>
        <w:t>) y aportaciones patronales a las autoridades estatales, incluyendo al Departamento de Hacienda, Administración de los Sistemas de Retiro y el Fondo del Seguro del Estado, etc.</w:t>
      </w:r>
    </w:p>
    <w:p w:rsidR="00EC722A" w:rsidRDefault="00EC722A" w:rsidP="00561BB9">
      <w:pPr>
        <w:jc w:val="both"/>
        <w:rPr>
          <w:rFonts w:ascii="Arial" w:hAnsi="Arial" w:cs="Arial"/>
          <w:sz w:val="24"/>
          <w:szCs w:val="24"/>
          <w:lang w:val="es-ES_tradnl"/>
        </w:rPr>
      </w:pPr>
    </w:p>
    <w:p w:rsidR="006B387D" w:rsidRPr="00DA68A3" w:rsidRDefault="006B387D" w:rsidP="00561BB9">
      <w:pPr>
        <w:jc w:val="both"/>
        <w:rPr>
          <w:rFonts w:ascii="Arial" w:hAnsi="Arial" w:cs="Arial"/>
          <w:sz w:val="24"/>
          <w:szCs w:val="24"/>
        </w:rPr>
      </w:pPr>
      <w:r w:rsidRPr="00DA68A3">
        <w:rPr>
          <w:rFonts w:ascii="Arial" w:hAnsi="Arial" w:cs="Arial"/>
          <w:sz w:val="24"/>
          <w:szCs w:val="24"/>
        </w:rPr>
        <w:t>Estamos disponibles para contestar las preguntas q</w:t>
      </w:r>
      <w:r>
        <w:rPr>
          <w:rFonts w:ascii="Arial" w:hAnsi="Arial" w:cs="Arial"/>
          <w:sz w:val="24"/>
          <w:szCs w:val="24"/>
        </w:rPr>
        <w:t>ue puedan tener con relación a lo antes expuesto</w:t>
      </w:r>
      <w:r w:rsidRPr="00DA68A3">
        <w:rPr>
          <w:rFonts w:ascii="Arial" w:hAnsi="Arial" w:cs="Arial"/>
          <w:sz w:val="24"/>
          <w:szCs w:val="24"/>
        </w:rPr>
        <w:t>.</w:t>
      </w:r>
    </w:p>
    <w:p w:rsidR="006B387D" w:rsidRPr="00DA68A3" w:rsidRDefault="006B387D" w:rsidP="00561BB9">
      <w:pPr>
        <w:jc w:val="both"/>
        <w:rPr>
          <w:rFonts w:ascii="Arial" w:hAnsi="Arial" w:cs="Arial"/>
          <w:sz w:val="24"/>
          <w:szCs w:val="24"/>
        </w:rPr>
      </w:pPr>
    </w:p>
    <w:p w:rsidR="006B387D" w:rsidRPr="00DA68A3" w:rsidRDefault="006B387D" w:rsidP="00561BB9">
      <w:pPr>
        <w:jc w:val="both"/>
        <w:rPr>
          <w:rFonts w:ascii="Arial" w:hAnsi="Arial" w:cs="Arial"/>
          <w:sz w:val="24"/>
          <w:szCs w:val="24"/>
        </w:rPr>
      </w:pPr>
      <w:r w:rsidRPr="00DA68A3">
        <w:rPr>
          <w:rFonts w:ascii="Arial" w:hAnsi="Arial" w:cs="Arial"/>
          <w:sz w:val="24"/>
          <w:szCs w:val="24"/>
        </w:rPr>
        <w:t xml:space="preserve">Cordialmente, </w:t>
      </w:r>
    </w:p>
    <w:p w:rsidR="006B387D" w:rsidRDefault="006B387D" w:rsidP="00561BB9">
      <w:pPr>
        <w:jc w:val="both"/>
        <w:rPr>
          <w:rFonts w:ascii="Arial" w:hAnsi="Arial" w:cs="Arial"/>
          <w:sz w:val="24"/>
          <w:szCs w:val="24"/>
          <w:lang w:val="es-ES_tradnl"/>
        </w:rPr>
      </w:pPr>
    </w:p>
    <w:p w:rsidR="006B387D" w:rsidRDefault="006B387D" w:rsidP="00561BB9">
      <w:pPr>
        <w:jc w:val="both"/>
        <w:rPr>
          <w:rFonts w:ascii="Arial" w:hAnsi="Arial" w:cs="Arial"/>
          <w:sz w:val="24"/>
          <w:szCs w:val="24"/>
          <w:lang w:val="es-ES_tradnl"/>
        </w:rPr>
      </w:pPr>
    </w:p>
    <w:p w:rsidR="006B387D" w:rsidRDefault="006B387D" w:rsidP="00561BB9">
      <w:pPr>
        <w:jc w:val="both"/>
        <w:rPr>
          <w:rFonts w:ascii="Arial" w:hAnsi="Arial" w:cs="Arial"/>
          <w:sz w:val="24"/>
          <w:szCs w:val="24"/>
          <w:lang w:val="es-ES_tradnl"/>
        </w:rPr>
      </w:pPr>
    </w:p>
    <w:p w:rsidR="006B387D" w:rsidRDefault="006B387D" w:rsidP="00561BB9">
      <w:pPr>
        <w:jc w:val="both"/>
        <w:rPr>
          <w:rFonts w:ascii="Arial" w:hAnsi="Arial" w:cs="Arial"/>
          <w:sz w:val="24"/>
          <w:szCs w:val="24"/>
          <w:lang w:val="es-ES_tradnl"/>
        </w:rPr>
      </w:pPr>
      <w:r>
        <w:rPr>
          <w:rFonts w:ascii="Arial" w:hAnsi="Arial" w:cs="Arial"/>
          <w:sz w:val="24"/>
          <w:szCs w:val="24"/>
          <w:lang w:val="es-ES_tradnl"/>
        </w:rPr>
        <w:t>Joey C. Cancel Planas</w:t>
      </w:r>
    </w:p>
    <w:p w:rsidR="0024223C" w:rsidRPr="00EC722A" w:rsidRDefault="006B387D" w:rsidP="00561BB9">
      <w:pPr>
        <w:jc w:val="both"/>
        <w:rPr>
          <w:rFonts w:ascii="Arial" w:hAnsi="Arial" w:cs="Arial"/>
          <w:sz w:val="24"/>
          <w:szCs w:val="24"/>
          <w:lang w:val="es-ES_tradnl"/>
        </w:rPr>
      </w:pPr>
      <w:r>
        <w:rPr>
          <w:rFonts w:ascii="Arial" w:hAnsi="Arial" w:cs="Arial"/>
          <w:sz w:val="24"/>
          <w:szCs w:val="24"/>
          <w:lang w:val="es-ES_tradnl"/>
        </w:rPr>
        <w:t>Presidente</w:t>
      </w:r>
    </w:p>
    <w:sectPr w:rsidR="0024223C" w:rsidRPr="00EC722A" w:rsidSect="00345EB1">
      <w:headerReference w:type="default" r:id="rId11"/>
      <w:footerReference w:type="first" r:id="rId12"/>
      <w:pgSz w:w="12240" w:h="15840" w:code="1"/>
      <w:pgMar w:top="720" w:right="155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27" w:rsidRDefault="00DD7527">
      <w:r>
        <w:separator/>
      </w:r>
    </w:p>
  </w:endnote>
  <w:endnote w:type="continuationSeparator" w:id="0">
    <w:p w:rsidR="00DD7527" w:rsidRDefault="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5C" w:rsidRDefault="0052045C">
    <w:pPr>
      <w:pStyle w:val="Footer"/>
    </w:pPr>
  </w:p>
  <w:p w:rsidR="0052045C" w:rsidRDefault="0052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27" w:rsidRDefault="00DD7527">
      <w:r>
        <w:separator/>
      </w:r>
    </w:p>
  </w:footnote>
  <w:footnote w:type="continuationSeparator" w:id="0">
    <w:p w:rsidR="00DD7527" w:rsidRDefault="00DD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5C" w:rsidRPr="00A95F48" w:rsidRDefault="0052045C" w:rsidP="00074710">
    <w:pPr>
      <w:pStyle w:val="Header"/>
      <w:rPr>
        <w:rFonts w:ascii="Arial" w:hAnsi="Arial" w:cs="Arial"/>
        <w:i/>
        <w:sz w:val="18"/>
        <w:szCs w:val="18"/>
      </w:rPr>
    </w:pPr>
    <w:proofErr w:type="spellStart"/>
    <w:r w:rsidRPr="00A95F48">
      <w:rPr>
        <w:rFonts w:ascii="Arial" w:hAnsi="Arial" w:cs="Arial"/>
        <w:i/>
        <w:sz w:val="18"/>
        <w:szCs w:val="18"/>
      </w:rPr>
      <w:t>Hon</w:t>
    </w:r>
    <w:proofErr w:type="spellEnd"/>
    <w:r w:rsidRPr="00A95F48">
      <w:rPr>
        <w:rFonts w:ascii="Arial" w:hAnsi="Arial" w:cs="Arial"/>
        <w:i/>
        <w:sz w:val="18"/>
        <w:szCs w:val="18"/>
      </w:rPr>
      <w:t xml:space="preserve">. </w:t>
    </w:r>
    <w:r w:rsidR="00074710">
      <w:rPr>
        <w:rFonts w:ascii="Arial" w:hAnsi="Arial" w:cs="Arial"/>
        <w:i/>
        <w:sz w:val="18"/>
        <w:szCs w:val="18"/>
      </w:rPr>
      <w:t xml:space="preserve">Víctor A. </w:t>
    </w:r>
    <w:proofErr w:type="spellStart"/>
    <w:r w:rsidR="00074710">
      <w:rPr>
        <w:rFonts w:ascii="Arial" w:hAnsi="Arial" w:cs="Arial"/>
        <w:i/>
        <w:sz w:val="18"/>
        <w:szCs w:val="18"/>
      </w:rPr>
      <w:t>Suáres</w:t>
    </w:r>
    <w:proofErr w:type="spellEnd"/>
    <w:r w:rsidR="00074710">
      <w:rPr>
        <w:rFonts w:ascii="Arial" w:hAnsi="Arial" w:cs="Arial"/>
        <w:i/>
        <w:sz w:val="18"/>
        <w:szCs w:val="18"/>
      </w:rPr>
      <w:t xml:space="preserve"> Meléndez</w:t>
    </w:r>
  </w:p>
  <w:p w:rsidR="0052045C" w:rsidRPr="00A95F48" w:rsidRDefault="00074710">
    <w:pPr>
      <w:pStyle w:val="Header"/>
      <w:rPr>
        <w:rFonts w:ascii="Arial" w:hAnsi="Arial" w:cs="Arial"/>
        <w:i/>
        <w:sz w:val="18"/>
        <w:szCs w:val="18"/>
      </w:rPr>
    </w:pPr>
    <w:r>
      <w:rPr>
        <w:rFonts w:ascii="Arial" w:hAnsi="Arial" w:cs="Arial"/>
        <w:i/>
        <w:sz w:val="18"/>
        <w:szCs w:val="18"/>
      </w:rPr>
      <w:t xml:space="preserve">Secretario de Estado </w:t>
    </w:r>
  </w:p>
  <w:p w:rsidR="00074710" w:rsidRDefault="0052045C">
    <w:pPr>
      <w:pStyle w:val="Header"/>
      <w:rPr>
        <w:rFonts w:ascii="Arial" w:hAnsi="Arial" w:cs="Arial"/>
        <w:i/>
        <w:sz w:val="18"/>
        <w:szCs w:val="18"/>
      </w:rPr>
    </w:pPr>
    <w:r w:rsidRPr="00A95F48">
      <w:rPr>
        <w:rFonts w:ascii="Arial" w:hAnsi="Arial" w:cs="Arial"/>
        <w:i/>
        <w:sz w:val="18"/>
        <w:szCs w:val="18"/>
      </w:rPr>
      <w:t>Banco de Desarrollo Económico para PR</w:t>
    </w:r>
    <w:r w:rsidR="00074710">
      <w:rPr>
        <w:rFonts w:ascii="Arial" w:hAnsi="Arial" w:cs="Arial"/>
        <w:i/>
        <w:sz w:val="18"/>
        <w:szCs w:val="18"/>
      </w:rPr>
      <w:t xml:space="preserve"> </w:t>
    </w:r>
  </w:p>
  <w:p w:rsidR="0052045C" w:rsidRPr="00A95F48" w:rsidRDefault="00074710">
    <w:pPr>
      <w:pStyle w:val="Header"/>
      <w:rPr>
        <w:rFonts w:ascii="Arial" w:hAnsi="Arial" w:cs="Arial"/>
        <w:i/>
        <w:sz w:val="18"/>
        <w:szCs w:val="18"/>
      </w:rPr>
    </w:pPr>
    <w:r>
      <w:rPr>
        <w:rFonts w:ascii="Arial" w:hAnsi="Arial" w:cs="Arial"/>
        <w:i/>
        <w:sz w:val="18"/>
        <w:szCs w:val="18"/>
      </w:rPr>
      <w:t xml:space="preserve">Transición </w:t>
    </w:r>
  </w:p>
  <w:p w:rsidR="0052045C" w:rsidRPr="00A95F48" w:rsidRDefault="0052045C" w:rsidP="004F03B4">
    <w:pPr>
      <w:pStyle w:val="Header"/>
      <w:pBdr>
        <w:bottom w:val="single" w:sz="4" w:space="1" w:color="auto"/>
      </w:pBdr>
      <w:rPr>
        <w:rStyle w:val="PageNumber"/>
        <w:rFonts w:ascii="Arial" w:hAnsi="Arial" w:cs="Arial"/>
        <w:i/>
        <w:noProof/>
        <w:sz w:val="18"/>
        <w:szCs w:val="18"/>
      </w:rPr>
    </w:pPr>
    <w:r w:rsidRPr="00A95F48">
      <w:rPr>
        <w:rFonts w:ascii="Arial" w:hAnsi="Arial" w:cs="Arial"/>
        <w:i/>
        <w:sz w:val="18"/>
        <w:szCs w:val="18"/>
      </w:rPr>
      <w:t xml:space="preserve">Página </w:t>
    </w:r>
    <w:r w:rsidRPr="00A95F48">
      <w:rPr>
        <w:rStyle w:val="PageNumber"/>
        <w:rFonts w:ascii="Arial" w:hAnsi="Arial" w:cs="Arial"/>
        <w:i/>
        <w:sz w:val="18"/>
        <w:szCs w:val="18"/>
      </w:rPr>
      <w:fldChar w:fldCharType="begin"/>
    </w:r>
    <w:r w:rsidRPr="00A95F48">
      <w:rPr>
        <w:rStyle w:val="PageNumber"/>
        <w:rFonts w:ascii="Arial" w:hAnsi="Arial" w:cs="Arial"/>
        <w:i/>
        <w:sz w:val="18"/>
        <w:szCs w:val="18"/>
      </w:rPr>
      <w:instrText xml:space="preserve"> PAGE </w:instrText>
    </w:r>
    <w:r w:rsidRPr="00A95F48">
      <w:rPr>
        <w:rStyle w:val="PageNumber"/>
        <w:rFonts w:ascii="Arial" w:hAnsi="Arial" w:cs="Arial"/>
        <w:i/>
        <w:sz w:val="18"/>
        <w:szCs w:val="18"/>
      </w:rPr>
      <w:fldChar w:fldCharType="separate"/>
    </w:r>
    <w:r w:rsidR="0024223C">
      <w:rPr>
        <w:rStyle w:val="PageNumber"/>
        <w:rFonts w:ascii="Arial" w:hAnsi="Arial" w:cs="Arial"/>
        <w:i/>
        <w:noProof/>
        <w:sz w:val="18"/>
        <w:szCs w:val="18"/>
      </w:rPr>
      <w:t>5</w:t>
    </w:r>
    <w:r w:rsidRPr="00A95F48">
      <w:rPr>
        <w:rStyle w:val="PageNumber"/>
        <w:rFonts w:ascii="Arial" w:hAnsi="Arial" w:cs="Arial"/>
        <w:i/>
        <w:sz w:val="18"/>
        <w:szCs w:val="18"/>
      </w:rPr>
      <w:fldChar w:fldCharType="end"/>
    </w:r>
    <w:r w:rsidRPr="00A95F48">
      <w:rPr>
        <w:rStyle w:val="PageNumber"/>
        <w:rFonts w:ascii="Arial" w:hAnsi="Arial" w:cs="Arial"/>
        <w:i/>
        <w:sz w:val="18"/>
        <w:szCs w:val="18"/>
      </w:rPr>
      <w:t xml:space="preserve"> de </w:t>
    </w:r>
    <w:r w:rsidRPr="00A95F48">
      <w:rPr>
        <w:rStyle w:val="PageNumber"/>
        <w:rFonts w:ascii="Arial" w:hAnsi="Arial" w:cs="Arial"/>
        <w:i/>
        <w:sz w:val="18"/>
        <w:szCs w:val="18"/>
      </w:rPr>
      <w:fldChar w:fldCharType="begin"/>
    </w:r>
    <w:r w:rsidRPr="00A95F48">
      <w:rPr>
        <w:rStyle w:val="PageNumber"/>
        <w:rFonts w:ascii="Arial" w:hAnsi="Arial" w:cs="Arial"/>
        <w:i/>
        <w:sz w:val="18"/>
        <w:szCs w:val="18"/>
      </w:rPr>
      <w:instrText xml:space="preserve"> NUMPAGES </w:instrText>
    </w:r>
    <w:r w:rsidRPr="00A95F48">
      <w:rPr>
        <w:rStyle w:val="PageNumber"/>
        <w:rFonts w:ascii="Arial" w:hAnsi="Arial" w:cs="Arial"/>
        <w:i/>
        <w:sz w:val="18"/>
        <w:szCs w:val="18"/>
      </w:rPr>
      <w:fldChar w:fldCharType="separate"/>
    </w:r>
    <w:r w:rsidR="0024223C">
      <w:rPr>
        <w:rStyle w:val="PageNumber"/>
        <w:rFonts w:ascii="Arial" w:hAnsi="Arial" w:cs="Arial"/>
        <w:i/>
        <w:noProof/>
        <w:sz w:val="18"/>
        <w:szCs w:val="18"/>
      </w:rPr>
      <w:t>5</w:t>
    </w:r>
    <w:r w:rsidRPr="00A95F48">
      <w:rPr>
        <w:rStyle w:val="PageNumber"/>
        <w:rFonts w:ascii="Arial" w:hAnsi="Arial" w:cs="Arial"/>
        <w:i/>
        <w:sz w:val="18"/>
        <w:szCs w:val="18"/>
      </w:rPr>
      <w:fldChar w:fldCharType="end"/>
    </w:r>
  </w:p>
  <w:p w:rsidR="0052045C" w:rsidRDefault="0052045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9B6E69"/>
    <w:multiLevelType w:val="hybridMultilevel"/>
    <w:tmpl w:val="F4A40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A66B9"/>
    <w:multiLevelType w:val="hybridMultilevel"/>
    <w:tmpl w:val="1DB0283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02B6F6F"/>
    <w:multiLevelType w:val="hybridMultilevel"/>
    <w:tmpl w:val="856041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D016E6"/>
    <w:multiLevelType w:val="multilevel"/>
    <w:tmpl w:val="6BF048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7F709C0"/>
    <w:multiLevelType w:val="hybridMultilevel"/>
    <w:tmpl w:val="7AFCB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665F04"/>
    <w:multiLevelType w:val="hybridMultilevel"/>
    <w:tmpl w:val="8B6E8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E5925"/>
    <w:multiLevelType w:val="hybridMultilevel"/>
    <w:tmpl w:val="2D10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52CB"/>
    <w:multiLevelType w:val="singleLevel"/>
    <w:tmpl w:val="B9F226B2"/>
    <w:lvl w:ilvl="0">
      <w:start w:val="1"/>
      <w:numFmt w:val="decimal"/>
      <w:lvlText w:val="%1."/>
      <w:lvlJc w:val="left"/>
      <w:pPr>
        <w:tabs>
          <w:tab w:val="num" w:pos="360"/>
        </w:tabs>
        <w:ind w:left="360" w:hanging="360"/>
      </w:pPr>
      <w:rPr>
        <w:rFonts w:ascii="Tahoma" w:hAnsi="Tahoma" w:hint="default"/>
        <w:b/>
        <w:i w:val="0"/>
        <w:sz w:val="24"/>
      </w:rPr>
    </w:lvl>
  </w:abstractNum>
  <w:abstractNum w:abstractNumId="9">
    <w:nsid w:val="221B0FEA"/>
    <w:multiLevelType w:val="hybridMultilevel"/>
    <w:tmpl w:val="7042F058"/>
    <w:lvl w:ilvl="0" w:tplc="45BEE40C">
      <w:start w:val="1"/>
      <w:numFmt w:val="decimal"/>
      <w:lvlText w:val="%1."/>
      <w:lvlJc w:val="left"/>
      <w:pPr>
        <w:tabs>
          <w:tab w:val="num" w:pos="600"/>
        </w:tabs>
        <w:ind w:left="600" w:hanging="360"/>
      </w:pPr>
      <w:rPr>
        <w:rFonts w:hint="default"/>
        <w:b w:val="0"/>
        <w:i w:val="0"/>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10">
    <w:nsid w:val="26961468"/>
    <w:multiLevelType w:val="hybridMultilevel"/>
    <w:tmpl w:val="C17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D2BA8"/>
    <w:multiLevelType w:val="hybridMultilevel"/>
    <w:tmpl w:val="3236A420"/>
    <w:lvl w:ilvl="0" w:tplc="D938DC8A">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757D3"/>
    <w:multiLevelType w:val="hybridMultilevel"/>
    <w:tmpl w:val="20EAF1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AF3EE1"/>
    <w:multiLevelType w:val="hybridMultilevel"/>
    <w:tmpl w:val="DCE84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B4A8D"/>
    <w:multiLevelType w:val="hybridMultilevel"/>
    <w:tmpl w:val="A80681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BC5AB6"/>
    <w:multiLevelType w:val="multilevel"/>
    <w:tmpl w:val="6BF048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2E43B5"/>
    <w:multiLevelType w:val="hybridMultilevel"/>
    <w:tmpl w:val="525C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10207"/>
    <w:multiLevelType w:val="hybridMultilevel"/>
    <w:tmpl w:val="E1901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D218C9"/>
    <w:multiLevelType w:val="multilevel"/>
    <w:tmpl w:val="789A4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5E79A3"/>
    <w:multiLevelType w:val="hybridMultilevel"/>
    <w:tmpl w:val="789A4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5A4443"/>
    <w:multiLevelType w:val="hybridMultilevel"/>
    <w:tmpl w:val="72CC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7E40C7"/>
    <w:multiLevelType w:val="hybridMultilevel"/>
    <w:tmpl w:val="A292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97E8A"/>
    <w:multiLevelType w:val="hybridMultilevel"/>
    <w:tmpl w:val="AD809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B86501"/>
    <w:multiLevelType w:val="hybridMultilevel"/>
    <w:tmpl w:val="4050B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C1CF4"/>
    <w:multiLevelType w:val="hybridMultilevel"/>
    <w:tmpl w:val="E7BCC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5013A1"/>
    <w:multiLevelType w:val="hybridMultilevel"/>
    <w:tmpl w:val="8BC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B31F5"/>
    <w:multiLevelType w:val="hybridMultilevel"/>
    <w:tmpl w:val="5C8C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2B4CA0"/>
    <w:multiLevelType w:val="hybridMultilevel"/>
    <w:tmpl w:val="FA30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AB6084"/>
    <w:multiLevelType w:val="hybridMultilevel"/>
    <w:tmpl w:val="7E9EF986"/>
    <w:lvl w:ilvl="0" w:tplc="4066E180">
      <w:start w:val="1"/>
      <w:numFmt w:val="decimal"/>
      <w:lvlText w:val="%1."/>
      <w:lvlJc w:val="left"/>
      <w:pPr>
        <w:tabs>
          <w:tab w:val="num" w:pos="360"/>
        </w:tabs>
        <w:ind w:left="360" w:hanging="360"/>
      </w:pPr>
      <w:rPr>
        <w:rFonts w:hint="default"/>
        <w:b w:val="0"/>
        <w:i w:val="0"/>
      </w:rPr>
    </w:lvl>
    <w:lvl w:ilvl="1" w:tplc="70AE29C0">
      <w:start w:val="3"/>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F706B9"/>
    <w:multiLevelType w:val="hybridMultilevel"/>
    <w:tmpl w:val="742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F09E2"/>
    <w:multiLevelType w:val="hybridMultilevel"/>
    <w:tmpl w:val="9A7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830AF"/>
    <w:multiLevelType w:val="hybridMultilevel"/>
    <w:tmpl w:val="C1789AFC"/>
    <w:lvl w:ilvl="0" w:tplc="4300DC1C">
      <w:start w:val="5"/>
      <w:numFmt w:val="decimal"/>
      <w:lvlText w:val="%1."/>
      <w:lvlJc w:val="left"/>
      <w:pPr>
        <w:tabs>
          <w:tab w:val="num" w:pos="360"/>
        </w:tabs>
        <w:ind w:left="360" w:hanging="360"/>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120438"/>
    <w:multiLevelType w:val="hybridMultilevel"/>
    <w:tmpl w:val="2B3A9FEA"/>
    <w:lvl w:ilvl="0" w:tplc="B2B2E174">
      <w:start w:val="4"/>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54023"/>
    <w:multiLevelType w:val="hybridMultilevel"/>
    <w:tmpl w:val="824C06D6"/>
    <w:lvl w:ilvl="0" w:tplc="87DC84F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4">
    <w:nsid w:val="642B0A75"/>
    <w:multiLevelType w:val="hybridMultilevel"/>
    <w:tmpl w:val="A32EAB22"/>
    <w:lvl w:ilvl="0" w:tplc="67800798">
      <w:start w:val="9"/>
      <w:numFmt w:val="decimal"/>
      <w:lvlText w:val="%1."/>
      <w:lvlJc w:val="left"/>
      <w:pPr>
        <w:tabs>
          <w:tab w:val="num" w:pos="360"/>
        </w:tabs>
        <w:ind w:left="360" w:hanging="360"/>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B40F8F"/>
    <w:multiLevelType w:val="hybridMultilevel"/>
    <w:tmpl w:val="48C28720"/>
    <w:lvl w:ilvl="0" w:tplc="0409000F">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912733"/>
    <w:multiLevelType w:val="hybridMultilevel"/>
    <w:tmpl w:val="2FCE71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67FC07D1"/>
    <w:multiLevelType w:val="hybridMultilevel"/>
    <w:tmpl w:val="21369022"/>
    <w:lvl w:ilvl="0" w:tplc="FCA4B788">
      <w:start w:val="1"/>
      <w:numFmt w:val="bullet"/>
      <w:lvlText w:val="•"/>
      <w:lvlJc w:val="left"/>
      <w:pPr>
        <w:tabs>
          <w:tab w:val="num" w:pos="720"/>
        </w:tabs>
        <w:ind w:left="720" w:hanging="360"/>
      </w:pPr>
      <w:rPr>
        <w:rFonts w:ascii="Arial" w:hAnsi="Arial" w:hint="default"/>
      </w:rPr>
    </w:lvl>
    <w:lvl w:ilvl="1" w:tplc="93EE7662" w:tentative="1">
      <w:start w:val="1"/>
      <w:numFmt w:val="bullet"/>
      <w:lvlText w:val="•"/>
      <w:lvlJc w:val="left"/>
      <w:pPr>
        <w:tabs>
          <w:tab w:val="num" w:pos="1440"/>
        </w:tabs>
        <w:ind w:left="1440" w:hanging="360"/>
      </w:pPr>
      <w:rPr>
        <w:rFonts w:ascii="Arial" w:hAnsi="Arial" w:hint="default"/>
      </w:rPr>
    </w:lvl>
    <w:lvl w:ilvl="2" w:tplc="21621B84" w:tentative="1">
      <w:start w:val="1"/>
      <w:numFmt w:val="bullet"/>
      <w:lvlText w:val="•"/>
      <w:lvlJc w:val="left"/>
      <w:pPr>
        <w:tabs>
          <w:tab w:val="num" w:pos="2160"/>
        </w:tabs>
        <w:ind w:left="2160" w:hanging="360"/>
      </w:pPr>
      <w:rPr>
        <w:rFonts w:ascii="Arial" w:hAnsi="Arial" w:hint="default"/>
      </w:rPr>
    </w:lvl>
    <w:lvl w:ilvl="3" w:tplc="DA78E9CC" w:tentative="1">
      <w:start w:val="1"/>
      <w:numFmt w:val="bullet"/>
      <w:lvlText w:val="•"/>
      <w:lvlJc w:val="left"/>
      <w:pPr>
        <w:tabs>
          <w:tab w:val="num" w:pos="2880"/>
        </w:tabs>
        <w:ind w:left="2880" w:hanging="360"/>
      </w:pPr>
      <w:rPr>
        <w:rFonts w:ascii="Arial" w:hAnsi="Arial" w:hint="default"/>
      </w:rPr>
    </w:lvl>
    <w:lvl w:ilvl="4" w:tplc="BEB01E24" w:tentative="1">
      <w:start w:val="1"/>
      <w:numFmt w:val="bullet"/>
      <w:lvlText w:val="•"/>
      <w:lvlJc w:val="left"/>
      <w:pPr>
        <w:tabs>
          <w:tab w:val="num" w:pos="3600"/>
        </w:tabs>
        <w:ind w:left="3600" w:hanging="360"/>
      </w:pPr>
      <w:rPr>
        <w:rFonts w:ascii="Arial" w:hAnsi="Arial" w:hint="default"/>
      </w:rPr>
    </w:lvl>
    <w:lvl w:ilvl="5" w:tplc="BD1C724A" w:tentative="1">
      <w:start w:val="1"/>
      <w:numFmt w:val="bullet"/>
      <w:lvlText w:val="•"/>
      <w:lvlJc w:val="left"/>
      <w:pPr>
        <w:tabs>
          <w:tab w:val="num" w:pos="4320"/>
        </w:tabs>
        <w:ind w:left="4320" w:hanging="360"/>
      </w:pPr>
      <w:rPr>
        <w:rFonts w:ascii="Arial" w:hAnsi="Arial" w:hint="default"/>
      </w:rPr>
    </w:lvl>
    <w:lvl w:ilvl="6" w:tplc="FF806CFE" w:tentative="1">
      <w:start w:val="1"/>
      <w:numFmt w:val="bullet"/>
      <w:lvlText w:val="•"/>
      <w:lvlJc w:val="left"/>
      <w:pPr>
        <w:tabs>
          <w:tab w:val="num" w:pos="5040"/>
        </w:tabs>
        <w:ind w:left="5040" w:hanging="360"/>
      </w:pPr>
      <w:rPr>
        <w:rFonts w:ascii="Arial" w:hAnsi="Arial" w:hint="default"/>
      </w:rPr>
    </w:lvl>
    <w:lvl w:ilvl="7" w:tplc="D0805F1C" w:tentative="1">
      <w:start w:val="1"/>
      <w:numFmt w:val="bullet"/>
      <w:lvlText w:val="•"/>
      <w:lvlJc w:val="left"/>
      <w:pPr>
        <w:tabs>
          <w:tab w:val="num" w:pos="5760"/>
        </w:tabs>
        <w:ind w:left="5760" w:hanging="360"/>
      </w:pPr>
      <w:rPr>
        <w:rFonts w:ascii="Arial" w:hAnsi="Arial" w:hint="default"/>
      </w:rPr>
    </w:lvl>
    <w:lvl w:ilvl="8" w:tplc="4C3861A0" w:tentative="1">
      <w:start w:val="1"/>
      <w:numFmt w:val="bullet"/>
      <w:lvlText w:val="•"/>
      <w:lvlJc w:val="left"/>
      <w:pPr>
        <w:tabs>
          <w:tab w:val="num" w:pos="6480"/>
        </w:tabs>
        <w:ind w:left="6480" w:hanging="360"/>
      </w:pPr>
      <w:rPr>
        <w:rFonts w:ascii="Arial" w:hAnsi="Arial" w:hint="default"/>
      </w:rPr>
    </w:lvl>
  </w:abstractNum>
  <w:abstractNum w:abstractNumId="38">
    <w:nsid w:val="69BA5172"/>
    <w:multiLevelType w:val="hybridMultilevel"/>
    <w:tmpl w:val="E132D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39595B"/>
    <w:multiLevelType w:val="multilevel"/>
    <w:tmpl w:val="856041B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CC45F4B"/>
    <w:multiLevelType w:val="hybridMultilevel"/>
    <w:tmpl w:val="D27EA312"/>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ECA04DF"/>
    <w:multiLevelType w:val="hybridMultilevel"/>
    <w:tmpl w:val="13F6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360AD6"/>
    <w:multiLevelType w:val="hybridMultilevel"/>
    <w:tmpl w:val="CAEC6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715503"/>
    <w:multiLevelType w:val="hybridMultilevel"/>
    <w:tmpl w:val="5D4EF1E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4">
    <w:nsid w:val="77413B89"/>
    <w:multiLevelType w:val="multilevel"/>
    <w:tmpl w:val="4DC046B0"/>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1F176F"/>
    <w:multiLevelType w:val="hybridMultilevel"/>
    <w:tmpl w:val="84A2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C72F2"/>
    <w:multiLevelType w:val="hybridMultilevel"/>
    <w:tmpl w:val="F2E4C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73668E"/>
    <w:multiLevelType w:val="hybridMultilevel"/>
    <w:tmpl w:val="5EB0E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CE1FCB"/>
    <w:multiLevelType w:val="singleLevel"/>
    <w:tmpl w:val="7288302E"/>
    <w:lvl w:ilvl="0">
      <w:start w:val="1"/>
      <w:numFmt w:val="decimal"/>
      <w:lvlText w:val="%1."/>
      <w:lvlJc w:val="left"/>
      <w:pPr>
        <w:tabs>
          <w:tab w:val="num" w:pos="360"/>
        </w:tabs>
        <w:ind w:left="360" w:hanging="360"/>
      </w:pPr>
      <w:rPr>
        <w:rFonts w:ascii="Tahoma" w:hAnsi="Tahoma" w:hint="default"/>
        <w:b/>
        <w:i w:val="0"/>
        <w:sz w:val="24"/>
      </w:rPr>
    </w:lvl>
  </w:abstractNum>
  <w:num w:numId="1">
    <w:abstractNumId w:val="48"/>
  </w:num>
  <w:num w:numId="2">
    <w:abstractNumId w:val="8"/>
  </w:num>
  <w:num w:numId="3">
    <w:abstractNumId w:val="34"/>
  </w:num>
  <w:num w:numId="4">
    <w:abstractNumId w:val="32"/>
  </w:num>
  <w:num w:numId="5">
    <w:abstractNumId w:val="31"/>
  </w:num>
  <w:num w:numId="6">
    <w:abstractNumId w:val="9"/>
  </w:num>
  <w:num w:numId="7">
    <w:abstractNumId w:val="28"/>
  </w:num>
  <w:num w:numId="8">
    <w:abstractNumId w:val="11"/>
  </w:num>
  <w:num w:numId="9">
    <w:abstractNumId w:val="35"/>
  </w:num>
  <w:num w:numId="10">
    <w:abstractNumId w:val="19"/>
  </w:num>
  <w:num w:numId="11">
    <w:abstractNumId w:val="18"/>
  </w:num>
  <w:num w:numId="12">
    <w:abstractNumId w:val="4"/>
  </w:num>
  <w:num w:numId="13">
    <w:abstractNumId w:val="44"/>
  </w:num>
  <w:num w:numId="14">
    <w:abstractNumId w:val="14"/>
  </w:num>
  <w:num w:numId="15">
    <w:abstractNumId w:val="0"/>
  </w:num>
  <w:num w:numId="16">
    <w:abstractNumId w:val="5"/>
  </w:num>
  <w:num w:numId="17">
    <w:abstractNumId w:val="12"/>
  </w:num>
  <w:num w:numId="18">
    <w:abstractNumId w:val="3"/>
  </w:num>
  <w:num w:numId="19">
    <w:abstractNumId w:val="39"/>
  </w:num>
  <w:num w:numId="20">
    <w:abstractNumId w:val="47"/>
  </w:num>
  <w:num w:numId="21">
    <w:abstractNumId w:val="15"/>
  </w:num>
  <w:num w:numId="22">
    <w:abstractNumId w:val="45"/>
  </w:num>
  <w:num w:numId="23">
    <w:abstractNumId w:val="46"/>
  </w:num>
  <w:num w:numId="24">
    <w:abstractNumId w:val="26"/>
  </w:num>
  <w:num w:numId="25">
    <w:abstractNumId w:val="24"/>
  </w:num>
  <w:num w:numId="26">
    <w:abstractNumId w:val="25"/>
  </w:num>
  <w:num w:numId="27">
    <w:abstractNumId w:val="30"/>
  </w:num>
  <w:num w:numId="28">
    <w:abstractNumId w:val="13"/>
  </w:num>
  <w:num w:numId="29">
    <w:abstractNumId w:val="7"/>
  </w:num>
  <w:num w:numId="30">
    <w:abstractNumId w:val="37"/>
  </w:num>
  <w:num w:numId="31">
    <w:abstractNumId w:val="41"/>
  </w:num>
  <w:num w:numId="32">
    <w:abstractNumId w:val="42"/>
  </w:num>
  <w:num w:numId="33">
    <w:abstractNumId w:val="1"/>
  </w:num>
  <w:num w:numId="34">
    <w:abstractNumId w:val="17"/>
  </w:num>
  <w:num w:numId="35">
    <w:abstractNumId w:val="21"/>
  </w:num>
  <w:num w:numId="36">
    <w:abstractNumId w:val="16"/>
  </w:num>
  <w:num w:numId="37">
    <w:abstractNumId w:val="38"/>
  </w:num>
  <w:num w:numId="38">
    <w:abstractNumId w:val="20"/>
  </w:num>
  <w:num w:numId="39">
    <w:abstractNumId w:val="10"/>
  </w:num>
  <w:num w:numId="40">
    <w:abstractNumId w:val="27"/>
  </w:num>
  <w:num w:numId="41">
    <w:abstractNumId w:val="43"/>
  </w:num>
  <w:num w:numId="42">
    <w:abstractNumId w:val="29"/>
  </w:num>
  <w:num w:numId="43">
    <w:abstractNumId w:val="36"/>
  </w:num>
  <w:num w:numId="44">
    <w:abstractNumId w:val="36"/>
  </w:num>
  <w:num w:numId="45">
    <w:abstractNumId w:val="40"/>
  </w:num>
  <w:num w:numId="46">
    <w:abstractNumId w:val="2"/>
  </w:num>
  <w:num w:numId="47">
    <w:abstractNumId w:val="22"/>
  </w:num>
  <w:num w:numId="48">
    <w:abstractNumId w:val="33"/>
  </w:num>
  <w:num w:numId="49">
    <w:abstractNumId w:val="6"/>
  </w:num>
  <w:num w:numId="5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MARTI">
    <w15:presenceInfo w15:providerId="AD" w15:userId="S-1-5-21-2112580252-794303049-817656539-4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1D"/>
    <w:rsid w:val="000036B8"/>
    <w:rsid w:val="00004D7E"/>
    <w:rsid w:val="00007347"/>
    <w:rsid w:val="0001136A"/>
    <w:rsid w:val="00013193"/>
    <w:rsid w:val="000147EE"/>
    <w:rsid w:val="00020525"/>
    <w:rsid w:val="00024B95"/>
    <w:rsid w:val="00026587"/>
    <w:rsid w:val="000275D7"/>
    <w:rsid w:val="0002761C"/>
    <w:rsid w:val="000336BA"/>
    <w:rsid w:val="00034044"/>
    <w:rsid w:val="00036B9D"/>
    <w:rsid w:val="000371BD"/>
    <w:rsid w:val="00037D27"/>
    <w:rsid w:val="00037D3C"/>
    <w:rsid w:val="000414BF"/>
    <w:rsid w:val="0004192F"/>
    <w:rsid w:val="00041936"/>
    <w:rsid w:val="000422BE"/>
    <w:rsid w:val="00050429"/>
    <w:rsid w:val="00051664"/>
    <w:rsid w:val="0005324C"/>
    <w:rsid w:val="0005341A"/>
    <w:rsid w:val="00060A86"/>
    <w:rsid w:val="00061F09"/>
    <w:rsid w:val="0006276F"/>
    <w:rsid w:val="000652FF"/>
    <w:rsid w:val="00065C14"/>
    <w:rsid w:val="00066FC6"/>
    <w:rsid w:val="00067635"/>
    <w:rsid w:val="000710CB"/>
    <w:rsid w:val="00074069"/>
    <w:rsid w:val="00074710"/>
    <w:rsid w:val="0008246C"/>
    <w:rsid w:val="0008389F"/>
    <w:rsid w:val="00084590"/>
    <w:rsid w:val="00085096"/>
    <w:rsid w:val="00086E61"/>
    <w:rsid w:val="00087066"/>
    <w:rsid w:val="00092622"/>
    <w:rsid w:val="00092F40"/>
    <w:rsid w:val="000934B9"/>
    <w:rsid w:val="0009359C"/>
    <w:rsid w:val="0009474E"/>
    <w:rsid w:val="00095AD2"/>
    <w:rsid w:val="00096F91"/>
    <w:rsid w:val="000A5FC2"/>
    <w:rsid w:val="000B307D"/>
    <w:rsid w:val="000B3F37"/>
    <w:rsid w:val="000B52DB"/>
    <w:rsid w:val="000C2F07"/>
    <w:rsid w:val="000C4CC9"/>
    <w:rsid w:val="000C6FC2"/>
    <w:rsid w:val="000C7F88"/>
    <w:rsid w:val="000D405C"/>
    <w:rsid w:val="000D46F1"/>
    <w:rsid w:val="000D48DC"/>
    <w:rsid w:val="000D6A4F"/>
    <w:rsid w:val="000E0BA5"/>
    <w:rsid w:val="000E0EC6"/>
    <w:rsid w:val="000E7837"/>
    <w:rsid w:val="000F389B"/>
    <w:rsid w:val="000F4833"/>
    <w:rsid w:val="000F5803"/>
    <w:rsid w:val="000F64E3"/>
    <w:rsid w:val="000F7111"/>
    <w:rsid w:val="000F7C00"/>
    <w:rsid w:val="0010344E"/>
    <w:rsid w:val="00104F30"/>
    <w:rsid w:val="001138E6"/>
    <w:rsid w:val="0011487F"/>
    <w:rsid w:val="001205CD"/>
    <w:rsid w:val="00122A30"/>
    <w:rsid w:val="00122BFB"/>
    <w:rsid w:val="001258E6"/>
    <w:rsid w:val="00127B3A"/>
    <w:rsid w:val="00130F9D"/>
    <w:rsid w:val="00132428"/>
    <w:rsid w:val="00134CE1"/>
    <w:rsid w:val="00136AEC"/>
    <w:rsid w:val="00142215"/>
    <w:rsid w:val="00144377"/>
    <w:rsid w:val="0014477A"/>
    <w:rsid w:val="00152DED"/>
    <w:rsid w:val="00154808"/>
    <w:rsid w:val="00154893"/>
    <w:rsid w:val="001553F5"/>
    <w:rsid w:val="00156309"/>
    <w:rsid w:val="0016039F"/>
    <w:rsid w:val="00160714"/>
    <w:rsid w:val="001608BB"/>
    <w:rsid w:val="001619BB"/>
    <w:rsid w:val="00162400"/>
    <w:rsid w:val="001630B5"/>
    <w:rsid w:val="00163884"/>
    <w:rsid w:val="00163B78"/>
    <w:rsid w:val="001672E3"/>
    <w:rsid w:val="00174FF7"/>
    <w:rsid w:val="001752C5"/>
    <w:rsid w:val="00176F08"/>
    <w:rsid w:val="0018086B"/>
    <w:rsid w:val="00181F16"/>
    <w:rsid w:val="0018698B"/>
    <w:rsid w:val="001875A6"/>
    <w:rsid w:val="00190B14"/>
    <w:rsid w:val="00191960"/>
    <w:rsid w:val="001972D4"/>
    <w:rsid w:val="001A1093"/>
    <w:rsid w:val="001A212F"/>
    <w:rsid w:val="001A288C"/>
    <w:rsid w:val="001A2E32"/>
    <w:rsid w:val="001A2F4B"/>
    <w:rsid w:val="001A502B"/>
    <w:rsid w:val="001A6B8B"/>
    <w:rsid w:val="001B122A"/>
    <w:rsid w:val="001C0282"/>
    <w:rsid w:val="001C12C7"/>
    <w:rsid w:val="001C26D3"/>
    <w:rsid w:val="001C49CD"/>
    <w:rsid w:val="001C6D37"/>
    <w:rsid w:val="001C79AF"/>
    <w:rsid w:val="001E273A"/>
    <w:rsid w:val="001E3865"/>
    <w:rsid w:val="001E5A2B"/>
    <w:rsid w:val="001F16E5"/>
    <w:rsid w:val="001F20F7"/>
    <w:rsid w:val="001F2BE5"/>
    <w:rsid w:val="001F3458"/>
    <w:rsid w:val="001F4173"/>
    <w:rsid w:val="001F65E7"/>
    <w:rsid w:val="0020358E"/>
    <w:rsid w:val="00204A7B"/>
    <w:rsid w:val="0021096D"/>
    <w:rsid w:val="00210B24"/>
    <w:rsid w:val="00210D7B"/>
    <w:rsid w:val="00213D3B"/>
    <w:rsid w:val="00215531"/>
    <w:rsid w:val="0021643D"/>
    <w:rsid w:val="00216707"/>
    <w:rsid w:val="002211C3"/>
    <w:rsid w:val="00222094"/>
    <w:rsid w:val="00226032"/>
    <w:rsid w:val="002306DE"/>
    <w:rsid w:val="00231101"/>
    <w:rsid w:val="00231F41"/>
    <w:rsid w:val="00232DDA"/>
    <w:rsid w:val="00233C4B"/>
    <w:rsid w:val="00234169"/>
    <w:rsid w:val="00234FB9"/>
    <w:rsid w:val="00235B92"/>
    <w:rsid w:val="0023653D"/>
    <w:rsid w:val="00237CEE"/>
    <w:rsid w:val="0024223C"/>
    <w:rsid w:val="00242B5E"/>
    <w:rsid w:val="00244ADC"/>
    <w:rsid w:val="002506BF"/>
    <w:rsid w:val="00253473"/>
    <w:rsid w:val="00260C61"/>
    <w:rsid w:val="00262B85"/>
    <w:rsid w:val="0026485E"/>
    <w:rsid w:val="00266DC6"/>
    <w:rsid w:val="00267920"/>
    <w:rsid w:val="0027093A"/>
    <w:rsid w:val="0027256A"/>
    <w:rsid w:val="00273C87"/>
    <w:rsid w:val="0027529E"/>
    <w:rsid w:val="0027619F"/>
    <w:rsid w:val="002779CD"/>
    <w:rsid w:val="00280F43"/>
    <w:rsid w:val="00282600"/>
    <w:rsid w:val="00284DDD"/>
    <w:rsid w:val="00293888"/>
    <w:rsid w:val="00294BFE"/>
    <w:rsid w:val="0029593A"/>
    <w:rsid w:val="00295B6F"/>
    <w:rsid w:val="002A0F4C"/>
    <w:rsid w:val="002A31E9"/>
    <w:rsid w:val="002A3E50"/>
    <w:rsid w:val="002A4A23"/>
    <w:rsid w:val="002B0606"/>
    <w:rsid w:val="002B132E"/>
    <w:rsid w:val="002B38C6"/>
    <w:rsid w:val="002C1D0D"/>
    <w:rsid w:val="002C3E9F"/>
    <w:rsid w:val="002C5CFF"/>
    <w:rsid w:val="002C7CB4"/>
    <w:rsid w:val="002D0710"/>
    <w:rsid w:val="002D0D5A"/>
    <w:rsid w:val="002D11DF"/>
    <w:rsid w:val="002D29B4"/>
    <w:rsid w:val="002D5228"/>
    <w:rsid w:val="002D5761"/>
    <w:rsid w:val="002D5CCC"/>
    <w:rsid w:val="002E0502"/>
    <w:rsid w:val="002E0D2C"/>
    <w:rsid w:val="002E32FA"/>
    <w:rsid w:val="002E33D1"/>
    <w:rsid w:val="002E5A95"/>
    <w:rsid w:val="002E5F56"/>
    <w:rsid w:val="002E6A2C"/>
    <w:rsid w:val="002E7D03"/>
    <w:rsid w:val="002F0E91"/>
    <w:rsid w:val="002F3726"/>
    <w:rsid w:val="002F50A1"/>
    <w:rsid w:val="00302214"/>
    <w:rsid w:val="003038A4"/>
    <w:rsid w:val="00303D69"/>
    <w:rsid w:val="00307C24"/>
    <w:rsid w:val="00310098"/>
    <w:rsid w:val="00314799"/>
    <w:rsid w:val="003157F8"/>
    <w:rsid w:val="00315E66"/>
    <w:rsid w:val="00320EA2"/>
    <w:rsid w:val="00326A4E"/>
    <w:rsid w:val="00327655"/>
    <w:rsid w:val="00334D80"/>
    <w:rsid w:val="00341465"/>
    <w:rsid w:val="00343F18"/>
    <w:rsid w:val="0034561C"/>
    <w:rsid w:val="00345EB1"/>
    <w:rsid w:val="00346907"/>
    <w:rsid w:val="003516BC"/>
    <w:rsid w:val="00351B2F"/>
    <w:rsid w:val="00354FA9"/>
    <w:rsid w:val="00355D64"/>
    <w:rsid w:val="00357094"/>
    <w:rsid w:val="00357574"/>
    <w:rsid w:val="00361E47"/>
    <w:rsid w:val="003650E1"/>
    <w:rsid w:val="0036525B"/>
    <w:rsid w:val="003671BE"/>
    <w:rsid w:val="00370BF2"/>
    <w:rsid w:val="00375082"/>
    <w:rsid w:val="00375705"/>
    <w:rsid w:val="003769C8"/>
    <w:rsid w:val="00380AA2"/>
    <w:rsid w:val="00382070"/>
    <w:rsid w:val="00382781"/>
    <w:rsid w:val="003832FF"/>
    <w:rsid w:val="00383848"/>
    <w:rsid w:val="00385475"/>
    <w:rsid w:val="00390EA1"/>
    <w:rsid w:val="00393658"/>
    <w:rsid w:val="0039376A"/>
    <w:rsid w:val="003A08C6"/>
    <w:rsid w:val="003A24FC"/>
    <w:rsid w:val="003A2BEC"/>
    <w:rsid w:val="003A3404"/>
    <w:rsid w:val="003A6710"/>
    <w:rsid w:val="003A7BD3"/>
    <w:rsid w:val="003B476C"/>
    <w:rsid w:val="003C06B1"/>
    <w:rsid w:val="003C0930"/>
    <w:rsid w:val="003C10F7"/>
    <w:rsid w:val="003C51F2"/>
    <w:rsid w:val="003C64D7"/>
    <w:rsid w:val="003C6C50"/>
    <w:rsid w:val="003D06D0"/>
    <w:rsid w:val="003D1D96"/>
    <w:rsid w:val="003D298D"/>
    <w:rsid w:val="003D3959"/>
    <w:rsid w:val="003D62A0"/>
    <w:rsid w:val="003E05D7"/>
    <w:rsid w:val="003E2754"/>
    <w:rsid w:val="003E29FE"/>
    <w:rsid w:val="003E33E6"/>
    <w:rsid w:val="003E3AFA"/>
    <w:rsid w:val="003E3E43"/>
    <w:rsid w:val="003E67CC"/>
    <w:rsid w:val="003F06B2"/>
    <w:rsid w:val="003F1666"/>
    <w:rsid w:val="003F2206"/>
    <w:rsid w:val="003F2D62"/>
    <w:rsid w:val="003F3798"/>
    <w:rsid w:val="003F6BBA"/>
    <w:rsid w:val="004000B0"/>
    <w:rsid w:val="00400638"/>
    <w:rsid w:val="004037B2"/>
    <w:rsid w:val="00403D12"/>
    <w:rsid w:val="00404DD9"/>
    <w:rsid w:val="004062EF"/>
    <w:rsid w:val="0041328D"/>
    <w:rsid w:val="00415B1F"/>
    <w:rsid w:val="00421C9A"/>
    <w:rsid w:val="004221A3"/>
    <w:rsid w:val="004223FF"/>
    <w:rsid w:val="00424394"/>
    <w:rsid w:val="004259C4"/>
    <w:rsid w:val="00427522"/>
    <w:rsid w:val="00430717"/>
    <w:rsid w:val="00430B62"/>
    <w:rsid w:val="00431F64"/>
    <w:rsid w:val="00431F95"/>
    <w:rsid w:val="00432908"/>
    <w:rsid w:val="00432EED"/>
    <w:rsid w:val="00433216"/>
    <w:rsid w:val="004337EE"/>
    <w:rsid w:val="00433D82"/>
    <w:rsid w:val="00434A12"/>
    <w:rsid w:val="00436E6A"/>
    <w:rsid w:val="0044044E"/>
    <w:rsid w:val="00441065"/>
    <w:rsid w:val="00444183"/>
    <w:rsid w:val="0045630F"/>
    <w:rsid w:val="00457F54"/>
    <w:rsid w:val="0046022B"/>
    <w:rsid w:val="00460508"/>
    <w:rsid w:val="00464364"/>
    <w:rsid w:val="0046525E"/>
    <w:rsid w:val="00466043"/>
    <w:rsid w:val="00470B1C"/>
    <w:rsid w:val="004720D2"/>
    <w:rsid w:val="00472EA5"/>
    <w:rsid w:val="004753D0"/>
    <w:rsid w:val="0048441F"/>
    <w:rsid w:val="0048541E"/>
    <w:rsid w:val="004855E3"/>
    <w:rsid w:val="004857A6"/>
    <w:rsid w:val="00486A30"/>
    <w:rsid w:val="00486B05"/>
    <w:rsid w:val="00487F4B"/>
    <w:rsid w:val="004961DB"/>
    <w:rsid w:val="004962EE"/>
    <w:rsid w:val="004979E0"/>
    <w:rsid w:val="00497AA0"/>
    <w:rsid w:val="004A1B09"/>
    <w:rsid w:val="004A3F08"/>
    <w:rsid w:val="004A6608"/>
    <w:rsid w:val="004A6BE2"/>
    <w:rsid w:val="004B3742"/>
    <w:rsid w:val="004B6BB9"/>
    <w:rsid w:val="004C186C"/>
    <w:rsid w:val="004C345A"/>
    <w:rsid w:val="004C3D9C"/>
    <w:rsid w:val="004C4DE5"/>
    <w:rsid w:val="004C6350"/>
    <w:rsid w:val="004C6BC2"/>
    <w:rsid w:val="004C6C65"/>
    <w:rsid w:val="004D051C"/>
    <w:rsid w:val="004D1A0B"/>
    <w:rsid w:val="004E0F80"/>
    <w:rsid w:val="004E295F"/>
    <w:rsid w:val="004F03B4"/>
    <w:rsid w:val="004F04F0"/>
    <w:rsid w:val="004F1E8B"/>
    <w:rsid w:val="004F2AF4"/>
    <w:rsid w:val="00501CFC"/>
    <w:rsid w:val="0050758C"/>
    <w:rsid w:val="00507FAF"/>
    <w:rsid w:val="00510295"/>
    <w:rsid w:val="00510DEB"/>
    <w:rsid w:val="005131E7"/>
    <w:rsid w:val="00513CFE"/>
    <w:rsid w:val="00516459"/>
    <w:rsid w:val="005170C5"/>
    <w:rsid w:val="00517D47"/>
    <w:rsid w:val="0052045C"/>
    <w:rsid w:val="005233A6"/>
    <w:rsid w:val="00523945"/>
    <w:rsid w:val="00524E19"/>
    <w:rsid w:val="00527038"/>
    <w:rsid w:val="00527917"/>
    <w:rsid w:val="005325CC"/>
    <w:rsid w:val="005443E6"/>
    <w:rsid w:val="005460B1"/>
    <w:rsid w:val="005472E6"/>
    <w:rsid w:val="00551242"/>
    <w:rsid w:val="005519E0"/>
    <w:rsid w:val="00552AF4"/>
    <w:rsid w:val="0055416C"/>
    <w:rsid w:val="00555751"/>
    <w:rsid w:val="005567EC"/>
    <w:rsid w:val="00556EBE"/>
    <w:rsid w:val="0055788F"/>
    <w:rsid w:val="00560476"/>
    <w:rsid w:val="005608C2"/>
    <w:rsid w:val="00561BB9"/>
    <w:rsid w:val="005624FB"/>
    <w:rsid w:val="00562A09"/>
    <w:rsid w:val="0056664F"/>
    <w:rsid w:val="0057152F"/>
    <w:rsid w:val="00574CC5"/>
    <w:rsid w:val="00575709"/>
    <w:rsid w:val="005760C8"/>
    <w:rsid w:val="00577D5C"/>
    <w:rsid w:val="00580083"/>
    <w:rsid w:val="0058137D"/>
    <w:rsid w:val="00581541"/>
    <w:rsid w:val="005858C3"/>
    <w:rsid w:val="00590623"/>
    <w:rsid w:val="00591EA4"/>
    <w:rsid w:val="005941AC"/>
    <w:rsid w:val="005954BA"/>
    <w:rsid w:val="0059638C"/>
    <w:rsid w:val="005A0A58"/>
    <w:rsid w:val="005A551B"/>
    <w:rsid w:val="005A7522"/>
    <w:rsid w:val="005B19BF"/>
    <w:rsid w:val="005B2C5C"/>
    <w:rsid w:val="005B47D4"/>
    <w:rsid w:val="005B7740"/>
    <w:rsid w:val="005C2309"/>
    <w:rsid w:val="005C4F34"/>
    <w:rsid w:val="005D08DC"/>
    <w:rsid w:val="005D324F"/>
    <w:rsid w:val="005D358C"/>
    <w:rsid w:val="005D3AF5"/>
    <w:rsid w:val="005D48E9"/>
    <w:rsid w:val="005D5600"/>
    <w:rsid w:val="005D57A7"/>
    <w:rsid w:val="005D6816"/>
    <w:rsid w:val="005D6A60"/>
    <w:rsid w:val="005D6F66"/>
    <w:rsid w:val="005E00C5"/>
    <w:rsid w:val="005E03C6"/>
    <w:rsid w:val="005E17F9"/>
    <w:rsid w:val="005E6A7D"/>
    <w:rsid w:val="005E6C45"/>
    <w:rsid w:val="005F0B84"/>
    <w:rsid w:val="005F4E2D"/>
    <w:rsid w:val="005F5DE2"/>
    <w:rsid w:val="005F62AD"/>
    <w:rsid w:val="0060018C"/>
    <w:rsid w:val="00601195"/>
    <w:rsid w:val="00611168"/>
    <w:rsid w:val="006112F4"/>
    <w:rsid w:val="00612CC0"/>
    <w:rsid w:val="00613F23"/>
    <w:rsid w:val="00614125"/>
    <w:rsid w:val="006164BA"/>
    <w:rsid w:val="00617F07"/>
    <w:rsid w:val="006216C1"/>
    <w:rsid w:val="00625C3D"/>
    <w:rsid w:val="00634B17"/>
    <w:rsid w:val="0063624C"/>
    <w:rsid w:val="00637AA3"/>
    <w:rsid w:val="0064356F"/>
    <w:rsid w:val="00644724"/>
    <w:rsid w:val="00645CB9"/>
    <w:rsid w:val="006473FA"/>
    <w:rsid w:val="00654EFE"/>
    <w:rsid w:val="0065522F"/>
    <w:rsid w:val="006554FA"/>
    <w:rsid w:val="006573CF"/>
    <w:rsid w:val="00660010"/>
    <w:rsid w:val="00662EE5"/>
    <w:rsid w:val="0066301B"/>
    <w:rsid w:val="00670094"/>
    <w:rsid w:val="00672B86"/>
    <w:rsid w:val="00675879"/>
    <w:rsid w:val="00676A47"/>
    <w:rsid w:val="00676AA2"/>
    <w:rsid w:val="00680C00"/>
    <w:rsid w:val="00687C87"/>
    <w:rsid w:val="00692210"/>
    <w:rsid w:val="00692A34"/>
    <w:rsid w:val="00693F72"/>
    <w:rsid w:val="00697130"/>
    <w:rsid w:val="006A043E"/>
    <w:rsid w:val="006A2198"/>
    <w:rsid w:val="006A244C"/>
    <w:rsid w:val="006A53EB"/>
    <w:rsid w:val="006A5DDC"/>
    <w:rsid w:val="006A736B"/>
    <w:rsid w:val="006B2336"/>
    <w:rsid w:val="006B387D"/>
    <w:rsid w:val="006B6850"/>
    <w:rsid w:val="006C2754"/>
    <w:rsid w:val="006C44EC"/>
    <w:rsid w:val="006C4EE1"/>
    <w:rsid w:val="006C79B9"/>
    <w:rsid w:val="006D1BF8"/>
    <w:rsid w:val="006D6709"/>
    <w:rsid w:val="006D67A9"/>
    <w:rsid w:val="006D73D0"/>
    <w:rsid w:val="006E1FFD"/>
    <w:rsid w:val="006E2486"/>
    <w:rsid w:val="006E5FF1"/>
    <w:rsid w:val="006E69EA"/>
    <w:rsid w:val="006F0C18"/>
    <w:rsid w:val="006F31EF"/>
    <w:rsid w:val="006F3C4A"/>
    <w:rsid w:val="006F3E9F"/>
    <w:rsid w:val="006F5CC9"/>
    <w:rsid w:val="00700FE0"/>
    <w:rsid w:val="00702C05"/>
    <w:rsid w:val="00710386"/>
    <w:rsid w:val="00712E83"/>
    <w:rsid w:val="0071609B"/>
    <w:rsid w:val="0072002C"/>
    <w:rsid w:val="00720826"/>
    <w:rsid w:val="00720C8E"/>
    <w:rsid w:val="00720E6B"/>
    <w:rsid w:val="0072586A"/>
    <w:rsid w:val="00725B08"/>
    <w:rsid w:val="00727B90"/>
    <w:rsid w:val="00732353"/>
    <w:rsid w:val="0073343E"/>
    <w:rsid w:val="00743396"/>
    <w:rsid w:val="00744D4A"/>
    <w:rsid w:val="00744FB9"/>
    <w:rsid w:val="007453AA"/>
    <w:rsid w:val="00754E03"/>
    <w:rsid w:val="00754E55"/>
    <w:rsid w:val="007552C9"/>
    <w:rsid w:val="007563E5"/>
    <w:rsid w:val="007603E8"/>
    <w:rsid w:val="00762AF1"/>
    <w:rsid w:val="00764D2A"/>
    <w:rsid w:val="00764DE2"/>
    <w:rsid w:val="00766DFB"/>
    <w:rsid w:val="007714C3"/>
    <w:rsid w:val="0077256F"/>
    <w:rsid w:val="007737FB"/>
    <w:rsid w:val="00773822"/>
    <w:rsid w:val="007760E9"/>
    <w:rsid w:val="00776A55"/>
    <w:rsid w:val="00777293"/>
    <w:rsid w:val="00777829"/>
    <w:rsid w:val="00781052"/>
    <w:rsid w:val="007818AC"/>
    <w:rsid w:val="00784EA9"/>
    <w:rsid w:val="00791C19"/>
    <w:rsid w:val="00792518"/>
    <w:rsid w:val="0079338C"/>
    <w:rsid w:val="00796479"/>
    <w:rsid w:val="0079674F"/>
    <w:rsid w:val="007970EA"/>
    <w:rsid w:val="007A011C"/>
    <w:rsid w:val="007A0F43"/>
    <w:rsid w:val="007A1A02"/>
    <w:rsid w:val="007A3B59"/>
    <w:rsid w:val="007A412A"/>
    <w:rsid w:val="007A4F7E"/>
    <w:rsid w:val="007A67D6"/>
    <w:rsid w:val="007B0E8D"/>
    <w:rsid w:val="007B3DAC"/>
    <w:rsid w:val="007B4538"/>
    <w:rsid w:val="007B48A2"/>
    <w:rsid w:val="007B5AAA"/>
    <w:rsid w:val="007C12D9"/>
    <w:rsid w:val="007C5E0C"/>
    <w:rsid w:val="007D081D"/>
    <w:rsid w:val="007D4533"/>
    <w:rsid w:val="007D473B"/>
    <w:rsid w:val="007D7B69"/>
    <w:rsid w:val="007E134D"/>
    <w:rsid w:val="007E25BA"/>
    <w:rsid w:val="007E7544"/>
    <w:rsid w:val="007F3567"/>
    <w:rsid w:val="007F3CE0"/>
    <w:rsid w:val="007F7821"/>
    <w:rsid w:val="00800B16"/>
    <w:rsid w:val="00802011"/>
    <w:rsid w:val="00803059"/>
    <w:rsid w:val="008036AE"/>
    <w:rsid w:val="00804773"/>
    <w:rsid w:val="00805B83"/>
    <w:rsid w:val="00805CE2"/>
    <w:rsid w:val="0080678D"/>
    <w:rsid w:val="00820770"/>
    <w:rsid w:val="00821BC7"/>
    <w:rsid w:val="00824962"/>
    <w:rsid w:val="0082601A"/>
    <w:rsid w:val="0082637F"/>
    <w:rsid w:val="008265E2"/>
    <w:rsid w:val="008307D4"/>
    <w:rsid w:val="008328C8"/>
    <w:rsid w:val="0083408A"/>
    <w:rsid w:val="0083562B"/>
    <w:rsid w:val="0084178C"/>
    <w:rsid w:val="00844CE5"/>
    <w:rsid w:val="0084538B"/>
    <w:rsid w:val="008477D7"/>
    <w:rsid w:val="008514DF"/>
    <w:rsid w:val="00851659"/>
    <w:rsid w:val="00852DA2"/>
    <w:rsid w:val="008536D4"/>
    <w:rsid w:val="00856891"/>
    <w:rsid w:val="00857A6E"/>
    <w:rsid w:val="00861073"/>
    <w:rsid w:val="00861E4B"/>
    <w:rsid w:val="008628E5"/>
    <w:rsid w:val="00863933"/>
    <w:rsid w:val="0086637C"/>
    <w:rsid w:val="00872859"/>
    <w:rsid w:val="00872B09"/>
    <w:rsid w:val="00873983"/>
    <w:rsid w:val="00874823"/>
    <w:rsid w:val="0087705F"/>
    <w:rsid w:val="00877611"/>
    <w:rsid w:val="00877D8D"/>
    <w:rsid w:val="0088043C"/>
    <w:rsid w:val="00880E01"/>
    <w:rsid w:val="0088799E"/>
    <w:rsid w:val="00887BD2"/>
    <w:rsid w:val="00890EA7"/>
    <w:rsid w:val="00891106"/>
    <w:rsid w:val="008946A0"/>
    <w:rsid w:val="008946F1"/>
    <w:rsid w:val="00895CF4"/>
    <w:rsid w:val="00896538"/>
    <w:rsid w:val="00896F3C"/>
    <w:rsid w:val="008A2CCA"/>
    <w:rsid w:val="008A4535"/>
    <w:rsid w:val="008A55B5"/>
    <w:rsid w:val="008A6EE8"/>
    <w:rsid w:val="008B30EC"/>
    <w:rsid w:val="008C2460"/>
    <w:rsid w:val="008C26FA"/>
    <w:rsid w:val="008C3F37"/>
    <w:rsid w:val="008C4F60"/>
    <w:rsid w:val="008C63BD"/>
    <w:rsid w:val="008C76FE"/>
    <w:rsid w:val="008C7F08"/>
    <w:rsid w:val="008D0734"/>
    <w:rsid w:val="008D16B4"/>
    <w:rsid w:val="008D2C41"/>
    <w:rsid w:val="008D7868"/>
    <w:rsid w:val="008E337D"/>
    <w:rsid w:val="008E37D3"/>
    <w:rsid w:val="008E4EA3"/>
    <w:rsid w:val="008E5DA7"/>
    <w:rsid w:val="008E7C22"/>
    <w:rsid w:val="008E7D5D"/>
    <w:rsid w:val="008F26B2"/>
    <w:rsid w:val="008F2A65"/>
    <w:rsid w:val="008F3676"/>
    <w:rsid w:val="008F5FB1"/>
    <w:rsid w:val="00901221"/>
    <w:rsid w:val="00903760"/>
    <w:rsid w:val="00905B9B"/>
    <w:rsid w:val="00906E5B"/>
    <w:rsid w:val="00911583"/>
    <w:rsid w:val="00914E18"/>
    <w:rsid w:val="00915CD6"/>
    <w:rsid w:val="009238E7"/>
    <w:rsid w:val="00924068"/>
    <w:rsid w:val="009268B0"/>
    <w:rsid w:val="0092780B"/>
    <w:rsid w:val="00930EEF"/>
    <w:rsid w:val="00931C47"/>
    <w:rsid w:val="00935753"/>
    <w:rsid w:val="00937C90"/>
    <w:rsid w:val="00941456"/>
    <w:rsid w:val="00943BB5"/>
    <w:rsid w:val="009447DF"/>
    <w:rsid w:val="0094581B"/>
    <w:rsid w:val="00946FDB"/>
    <w:rsid w:val="00950665"/>
    <w:rsid w:val="00952AE1"/>
    <w:rsid w:val="00953F80"/>
    <w:rsid w:val="00960E38"/>
    <w:rsid w:val="0096339C"/>
    <w:rsid w:val="00973710"/>
    <w:rsid w:val="0097578E"/>
    <w:rsid w:val="009803B0"/>
    <w:rsid w:val="0098115D"/>
    <w:rsid w:val="00981369"/>
    <w:rsid w:val="0098301E"/>
    <w:rsid w:val="00983502"/>
    <w:rsid w:val="00984265"/>
    <w:rsid w:val="00984B80"/>
    <w:rsid w:val="009866BE"/>
    <w:rsid w:val="00990B03"/>
    <w:rsid w:val="00991D28"/>
    <w:rsid w:val="009934BB"/>
    <w:rsid w:val="009968FF"/>
    <w:rsid w:val="009A042B"/>
    <w:rsid w:val="009A0435"/>
    <w:rsid w:val="009A4574"/>
    <w:rsid w:val="009A6038"/>
    <w:rsid w:val="009A6D90"/>
    <w:rsid w:val="009A6F87"/>
    <w:rsid w:val="009B03F3"/>
    <w:rsid w:val="009B260F"/>
    <w:rsid w:val="009B54CD"/>
    <w:rsid w:val="009C246F"/>
    <w:rsid w:val="009C2FB0"/>
    <w:rsid w:val="009C724A"/>
    <w:rsid w:val="009D5010"/>
    <w:rsid w:val="009D66F8"/>
    <w:rsid w:val="009D6BF8"/>
    <w:rsid w:val="009D7C30"/>
    <w:rsid w:val="009E0AAB"/>
    <w:rsid w:val="009E1902"/>
    <w:rsid w:val="009E3564"/>
    <w:rsid w:val="009E50D3"/>
    <w:rsid w:val="009F5A12"/>
    <w:rsid w:val="009F60D6"/>
    <w:rsid w:val="00A04CD9"/>
    <w:rsid w:val="00A05150"/>
    <w:rsid w:val="00A13DA5"/>
    <w:rsid w:val="00A1609F"/>
    <w:rsid w:val="00A22A3F"/>
    <w:rsid w:val="00A31900"/>
    <w:rsid w:val="00A32575"/>
    <w:rsid w:val="00A3482F"/>
    <w:rsid w:val="00A37483"/>
    <w:rsid w:val="00A4067F"/>
    <w:rsid w:val="00A41643"/>
    <w:rsid w:val="00A436A5"/>
    <w:rsid w:val="00A507BE"/>
    <w:rsid w:val="00A54172"/>
    <w:rsid w:val="00A576A9"/>
    <w:rsid w:val="00A60CFB"/>
    <w:rsid w:val="00A60FE5"/>
    <w:rsid w:val="00A6125E"/>
    <w:rsid w:val="00A634B8"/>
    <w:rsid w:val="00A63AF0"/>
    <w:rsid w:val="00A64595"/>
    <w:rsid w:val="00A702AC"/>
    <w:rsid w:val="00A70946"/>
    <w:rsid w:val="00A7286C"/>
    <w:rsid w:val="00A82747"/>
    <w:rsid w:val="00A83505"/>
    <w:rsid w:val="00A90F6C"/>
    <w:rsid w:val="00A92215"/>
    <w:rsid w:val="00A9388B"/>
    <w:rsid w:val="00A95F48"/>
    <w:rsid w:val="00A97F89"/>
    <w:rsid w:val="00AA26BD"/>
    <w:rsid w:val="00AA5348"/>
    <w:rsid w:val="00AA5772"/>
    <w:rsid w:val="00AA5841"/>
    <w:rsid w:val="00AA649E"/>
    <w:rsid w:val="00AB0672"/>
    <w:rsid w:val="00AB0B24"/>
    <w:rsid w:val="00AB544C"/>
    <w:rsid w:val="00AC2200"/>
    <w:rsid w:val="00AC5541"/>
    <w:rsid w:val="00AD2486"/>
    <w:rsid w:val="00AD6BD1"/>
    <w:rsid w:val="00AD70CF"/>
    <w:rsid w:val="00AE276B"/>
    <w:rsid w:val="00AE303E"/>
    <w:rsid w:val="00AE47C2"/>
    <w:rsid w:val="00AE6C95"/>
    <w:rsid w:val="00AF3806"/>
    <w:rsid w:val="00AF474F"/>
    <w:rsid w:val="00AF4D71"/>
    <w:rsid w:val="00AF5678"/>
    <w:rsid w:val="00AF5D07"/>
    <w:rsid w:val="00AF65E4"/>
    <w:rsid w:val="00AF734C"/>
    <w:rsid w:val="00B013AC"/>
    <w:rsid w:val="00B02854"/>
    <w:rsid w:val="00B0323A"/>
    <w:rsid w:val="00B10111"/>
    <w:rsid w:val="00B10A87"/>
    <w:rsid w:val="00B12339"/>
    <w:rsid w:val="00B12DC5"/>
    <w:rsid w:val="00B1322F"/>
    <w:rsid w:val="00B207F6"/>
    <w:rsid w:val="00B267AC"/>
    <w:rsid w:val="00B26F3E"/>
    <w:rsid w:val="00B30C59"/>
    <w:rsid w:val="00B33209"/>
    <w:rsid w:val="00B43A02"/>
    <w:rsid w:val="00B4495A"/>
    <w:rsid w:val="00B45137"/>
    <w:rsid w:val="00B4529F"/>
    <w:rsid w:val="00B452C5"/>
    <w:rsid w:val="00B45686"/>
    <w:rsid w:val="00B50149"/>
    <w:rsid w:val="00B50732"/>
    <w:rsid w:val="00B52FC1"/>
    <w:rsid w:val="00B53D72"/>
    <w:rsid w:val="00B610C3"/>
    <w:rsid w:val="00B6241D"/>
    <w:rsid w:val="00B65AA0"/>
    <w:rsid w:val="00B66339"/>
    <w:rsid w:val="00B66F90"/>
    <w:rsid w:val="00B67CBD"/>
    <w:rsid w:val="00B70548"/>
    <w:rsid w:val="00B73B04"/>
    <w:rsid w:val="00B76170"/>
    <w:rsid w:val="00B77726"/>
    <w:rsid w:val="00B8243A"/>
    <w:rsid w:val="00B85093"/>
    <w:rsid w:val="00B91514"/>
    <w:rsid w:val="00B93CF9"/>
    <w:rsid w:val="00B94385"/>
    <w:rsid w:val="00B94394"/>
    <w:rsid w:val="00B94AC9"/>
    <w:rsid w:val="00B975B5"/>
    <w:rsid w:val="00BA0362"/>
    <w:rsid w:val="00BA223D"/>
    <w:rsid w:val="00BA2C0A"/>
    <w:rsid w:val="00BA44CB"/>
    <w:rsid w:val="00BA557C"/>
    <w:rsid w:val="00BA5A01"/>
    <w:rsid w:val="00BA78A3"/>
    <w:rsid w:val="00BA7E45"/>
    <w:rsid w:val="00BB1638"/>
    <w:rsid w:val="00BB5658"/>
    <w:rsid w:val="00BC6974"/>
    <w:rsid w:val="00BC6FE3"/>
    <w:rsid w:val="00BD016C"/>
    <w:rsid w:val="00BD0E7B"/>
    <w:rsid w:val="00BD1579"/>
    <w:rsid w:val="00BD61BD"/>
    <w:rsid w:val="00BE13A1"/>
    <w:rsid w:val="00BE285B"/>
    <w:rsid w:val="00BE4203"/>
    <w:rsid w:val="00BE48CF"/>
    <w:rsid w:val="00BE590A"/>
    <w:rsid w:val="00BF1315"/>
    <w:rsid w:val="00BF2872"/>
    <w:rsid w:val="00BF2C33"/>
    <w:rsid w:val="00BF61DB"/>
    <w:rsid w:val="00C00C61"/>
    <w:rsid w:val="00C03267"/>
    <w:rsid w:val="00C04326"/>
    <w:rsid w:val="00C05BA0"/>
    <w:rsid w:val="00C07AA6"/>
    <w:rsid w:val="00C16EF9"/>
    <w:rsid w:val="00C2035D"/>
    <w:rsid w:val="00C22437"/>
    <w:rsid w:val="00C24EE3"/>
    <w:rsid w:val="00C31A53"/>
    <w:rsid w:val="00C32458"/>
    <w:rsid w:val="00C35845"/>
    <w:rsid w:val="00C36B36"/>
    <w:rsid w:val="00C373ED"/>
    <w:rsid w:val="00C3753F"/>
    <w:rsid w:val="00C40DCD"/>
    <w:rsid w:val="00C42769"/>
    <w:rsid w:val="00C427AB"/>
    <w:rsid w:val="00C42912"/>
    <w:rsid w:val="00C4344F"/>
    <w:rsid w:val="00C4707D"/>
    <w:rsid w:val="00C50168"/>
    <w:rsid w:val="00C554D9"/>
    <w:rsid w:val="00C5609E"/>
    <w:rsid w:val="00C636FA"/>
    <w:rsid w:val="00C657B3"/>
    <w:rsid w:val="00C67F8E"/>
    <w:rsid w:val="00C73D13"/>
    <w:rsid w:val="00C765AA"/>
    <w:rsid w:val="00C76C58"/>
    <w:rsid w:val="00C80E67"/>
    <w:rsid w:val="00C84573"/>
    <w:rsid w:val="00C86242"/>
    <w:rsid w:val="00C87DD5"/>
    <w:rsid w:val="00C87FF8"/>
    <w:rsid w:val="00C90FD6"/>
    <w:rsid w:val="00C930F2"/>
    <w:rsid w:val="00C94440"/>
    <w:rsid w:val="00C9482F"/>
    <w:rsid w:val="00C969AB"/>
    <w:rsid w:val="00CA004F"/>
    <w:rsid w:val="00CA14CF"/>
    <w:rsid w:val="00CA193E"/>
    <w:rsid w:val="00CA4899"/>
    <w:rsid w:val="00CA5E0C"/>
    <w:rsid w:val="00CA5E98"/>
    <w:rsid w:val="00CB0348"/>
    <w:rsid w:val="00CB4F7D"/>
    <w:rsid w:val="00CB698C"/>
    <w:rsid w:val="00CB6A6E"/>
    <w:rsid w:val="00CB786B"/>
    <w:rsid w:val="00CC30AA"/>
    <w:rsid w:val="00CC48D5"/>
    <w:rsid w:val="00CC7BB3"/>
    <w:rsid w:val="00CD0522"/>
    <w:rsid w:val="00CD0B5E"/>
    <w:rsid w:val="00CD2AF7"/>
    <w:rsid w:val="00CD46C1"/>
    <w:rsid w:val="00CD50D9"/>
    <w:rsid w:val="00CE300F"/>
    <w:rsid w:val="00CE32CC"/>
    <w:rsid w:val="00CE3AA7"/>
    <w:rsid w:val="00CE7720"/>
    <w:rsid w:val="00CE7CC5"/>
    <w:rsid w:val="00CF09E9"/>
    <w:rsid w:val="00CF0A5B"/>
    <w:rsid w:val="00CF3B02"/>
    <w:rsid w:val="00D02AE4"/>
    <w:rsid w:val="00D02B24"/>
    <w:rsid w:val="00D03478"/>
    <w:rsid w:val="00D0481A"/>
    <w:rsid w:val="00D054F0"/>
    <w:rsid w:val="00D115C2"/>
    <w:rsid w:val="00D11671"/>
    <w:rsid w:val="00D12FC6"/>
    <w:rsid w:val="00D13E2C"/>
    <w:rsid w:val="00D14DEE"/>
    <w:rsid w:val="00D173FB"/>
    <w:rsid w:val="00D23880"/>
    <w:rsid w:val="00D25340"/>
    <w:rsid w:val="00D31B89"/>
    <w:rsid w:val="00D3433C"/>
    <w:rsid w:val="00D35B86"/>
    <w:rsid w:val="00D36A08"/>
    <w:rsid w:val="00D37254"/>
    <w:rsid w:val="00D43E4D"/>
    <w:rsid w:val="00D446D4"/>
    <w:rsid w:val="00D45778"/>
    <w:rsid w:val="00D47028"/>
    <w:rsid w:val="00D5137A"/>
    <w:rsid w:val="00D52075"/>
    <w:rsid w:val="00D567B5"/>
    <w:rsid w:val="00D568B0"/>
    <w:rsid w:val="00D60EED"/>
    <w:rsid w:val="00D62855"/>
    <w:rsid w:val="00D707CE"/>
    <w:rsid w:val="00D7367F"/>
    <w:rsid w:val="00D73C86"/>
    <w:rsid w:val="00D75207"/>
    <w:rsid w:val="00D76B04"/>
    <w:rsid w:val="00D850F7"/>
    <w:rsid w:val="00D86B15"/>
    <w:rsid w:val="00D87161"/>
    <w:rsid w:val="00D92A3D"/>
    <w:rsid w:val="00D940B0"/>
    <w:rsid w:val="00D97D47"/>
    <w:rsid w:val="00DA0A66"/>
    <w:rsid w:val="00DA0BB7"/>
    <w:rsid w:val="00DA32A8"/>
    <w:rsid w:val="00DA391D"/>
    <w:rsid w:val="00DA450E"/>
    <w:rsid w:val="00DA4FE9"/>
    <w:rsid w:val="00DA68A3"/>
    <w:rsid w:val="00DA6E5F"/>
    <w:rsid w:val="00DB18F8"/>
    <w:rsid w:val="00DC09EA"/>
    <w:rsid w:val="00DC173D"/>
    <w:rsid w:val="00DC538E"/>
    <w:rsid w:val="00DD0BE7"/>
    <w:rsid w:val="00DD4D71"/>
    <w:rsid w:val="00DD7527"/>
    <w:rsid w:val="00DE0BA9"/>
    <w:rsid w:val="00DF05C8"/>
    <w:rsid w:val="00DF095D"/>
    <w:rsid w:val="00DF3942"/>
    <w:rsid w:val="00DF4A8B"/>
    <w:rsid w:val="00DF6CDF"/>
    <w:rsid w:val="00E06040"/>
    <w:rsid w:val="00E06CCC"/>
    <w:rsid w:val="00E07C7A"/>
    <w:rsid w:val="00E103D3"/>
    <w:rsid w:val="00E1308D"/>
    <w:rsid w:val="00E16F2C"/>
    <w:rsid w:val="00E17E1A"/>
    <w:rsid w:val="00E2014D"/>
    <w:rsid w:val="00E20AD8"/>
    <w:rsid w:val="00E221C0"/>
    <w:rsid w:val="00E2313E"/>
    <w:rsid w:val="00E25557"/>
    <w:rsid w:val="00E2559F"/>
    <w:rsid w:val="00E2583B"/>
    <w:rsid w:val="00E260E6"/>
    <w:rsid w:val="00E33319"/>
    <w:rsid w:val="00E3462D"/>
    <w:rsid w:val="00E41685"/>
    <w:rsid w:val="00E432AE"/>
    <w:rsid w:val="00E44270"/>
    <w:rsid w:val="00E44492"/>
    <w:rsid w:val="00E445B4"/>
    <w:rsid w:val="00E448CD"/>
    <w:rsid w:val="00E4517F"/>
    <w:rsid w:val="00E46180"/>
    <w:rsid w:val="00E4726D"/>
    <w:rsid w:val="00E5289A"/>
    <w:rsid w:val="00E52937"/>
    <w:rsid w:val="00E541A9"/>
    <w:rsid w:val="00E5542F"/>
    <w:rsid w:val="00E56256"/>
    <w:rsid w:val="00E57202"/>
    <w:rsid w:val="00E57D21"/>
    <w:rsid w:val="00E605B7"/>
    <w:rsid w:val="00E630C7"/>
    <w:rsid w:val="00E63BCF"/>
    <w:rsid w:val="00E674BD"/>
    <w:rsid w:val="00E67510"/>
    <w:rsid w:val="00E67CEA"/>
    <w:rsid w:val="00E70E12"/>
    <w:rsid w:val="00E726F5"/>
    <w:rsid w:val="00E748F3"/>
    <w:rsid w:val="00E7499A"/>
    <w:rsid w:val="00E75416"/>
    <w:rsid w:val="00E774E6"/>
    <w:rsid w:val="00E807D8"/>
    <w:rsid w:val="00E841BC"/>
    <w:rsid w:val="00E8562E"/>
    <w:rsid w:val="00E86795"/>
    <w:rsid w:val="00E905B7"/>
    <w:rsid w:val="00E9364E"/>
    <w:rsid w:val="00E947B4"/>
    <w:rsid w:val="00E9617D"/>
    <w:rsid w:val="00EA0A73"/>
    <w:rsid w:val="00EA26B6"/>
    <w:rsid w:val="00EA5397"/>
    <w:rsid w:val="00EA6D8B"/>
    <w:rsid w:val="00EB0D43"/>
    <w:rsid w:val="00EB2EF3"/>
    <w:rsid w:val="00EB5DA9"/>
    <w:rsid w:val="00EB5F39"/>
    <w:rsid w:val="00EC26FC"/>
    <w:rsid w:val="00EC4CB9"/>
    <w:rsid w:val="00EC4EDB"/>
    <w:rsid w:val="00EC5B68"/>
    <w:rsid w:val="00EC6266"/>
    <w:rsid w:val="00EC722A"/>
    <w:rsid w:val="00EC7C16"/>
    <w:rsid w:val="00ED0FBE"/>
    <w:rsid w:val="00ED4D2C"/>
    <w:rsid w:val="00ED61CB"/>
    <w:rsid w:val="00EE2775"/>
    <w:rsid w:val="00EE2A12"/>
    <w:rsid w:val="00EE32F0"/>
    <w:rsid w:val="00EE3BF2"/>
    <w:rsid w:val="00EE6925"/>
    <w:rsid w:val="00EF28DA"/>
    <w:rsid w:val="00EF2B7C"/>
    <w:rsid w:val="00EF5A03"/>
    <w:rsid w:val="00EF5A79"/>
    <w:rsid w:val="00EF7141"/>
    <w:rsid w:val="00F04F40"/>
    <w:rsid w:val="00F05936"/>
    <w:rsid w:val="00F05A89"/>
    <w:rsid w:val="00F06B45"/>
    <w:rsid w:val="00F07F00"/>
    <w:rsid w:val="00F11862"/>
    <w:rsid w:val="00F14C0D"/>
    <w:rsid w:val="00F20A1F"/>
    <w:rsid w:val="00F2144B"/>
    <w:rsid w:val="00F22549"/>
    <w:rsid w:val="00F24F78"/>
    <w:rsid w:val="00F26096"/>
    <w:rsid w:val="00F306CB"/>
    <w:rsid w:val="00F3497A"/>
    <w:rsid w:val="00F34E18"/>
    <w:rsid w:val="00F353E1"/>
    <w:rsid w:val="00F35676"/>
    <w:rsid w:val="00F35C94"/>
    <w:rsid w:val="00F37645"/>
    <w:rsid w:val="00F43832"/>
    <w:rsid w:val="00F47063"/>
    <w:rsid w:val="00F5011A"/>
    <w:rsid w:val="00F57ABB"/>
    <w:rsid w:val="00F60424"/>
    <w:rsid w:val="00F63077"/>
    <w:rsid w:val="00F63B53"/>
    <w:rsid w:val="00F7023E"/>
    <w:rsid w:val="00F71EF5"/>
    <w:rsid w:val="00F72865"/>
    <w:rsid w:val="00F72C8F"/>
    <w:rsid w:val="00F74C22"/>
    <w:rsid w:val="00F76E06"/>
    <w:rsid w:val="00F805A1"/>
    <w:rsid w:val="00F8451B"/>
    <w:rsid w:val="00F8539F"/>
    <w:rsid w:val="00F86C87"/>
    <w:rsid w:val="00F91AA4"/>
    <w:rsid w:val="00F91FEB"/>
    <w:rsid w:val="00F922B7"/>
    <w:rsid w:val="00F943C8"/>
    <w:rsid w:val="00F959A6"/>
    <w:rsid w:val="00F966F0"/>
    <w:rsid w:val="00F97354"/>
    <w:rsid w:val="00F97715"/>
    <w:rsid w:val="00FA0ED7"/>
    <w:rsid w:val="00FA1148"/>
    <w:rsid w:val="00FA115F"/>
    <w:rsid w:val="00FA3FF6"/>
    <w:rsid w:val="00FA51A0"/>
    <w:rsid w:val="00FA62EE"/>
    <w:rsid w:val="00FB0CA1"/>
    <w:rsid w:val="00FB0FD7"/>
    <w:rsid w:val="00FB10F1"/>
    <w:rsid w:val="00FB1497"/>
    <w:rsid w:val="00FB37FC"/>
    <w:rsid w:val="00FB451D"/>
    <w:rsid w:val="00FB5AF7"/>
    <w:rsid w:val="00FC00D9"/>
    <w:rsid w:val="00FC09F1"/>
    <w:rsid w:val="00FC2354"/>
    <w:rsid w:val="00FC2E07"/>
    <w:rsid w:val="00FC5C4A"/>
    <w:rsid w:val="00FC6F28"/>
    <w:rsid w:val="00FD0476"/>
    <w:rsid w:val="00FD13CA"/>
    <w:rsid w:val="00FD1A7E"/>
    <w:rsid w:val="00FD5E8B"/>
    <w:rsid w:val="00FE063E"/>
    <w:rsid w:val="00FE63BC"/>
    <w:rsid w:val="00FE6640"/>
    <w:rsid w:val="00FF1742"/>
    <w:rsid w:val="00FF27E0"/>
    <w:rsid w:val="00FF3058"/>
    <w:rsid w:val="00FF449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PR" w:eastAsia="es-P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1D"/>
    <w:rPr>
      <w:lang w:eastAsia="en-US"/>
    </w:rPr>
  </w:style>
  <w:style w:type="paragraph" w:styleId="Heading1">
    <w:name w:val="heading 1"/>
    <w:basedOn w:val="Normal"/>
    <w:next w:val="Normal"/>
    <w:qFormat/>
    <w:rsid w:val="007D081D"/>
    <w:pPr>
      <w:keepNext/>
      <w:outlineLvl w:val="0"/>
    </w:pPr>
    <w:rPr>
      <w:rFonts w:ascii="Arial" w:hAnsi="Arial"/>
      <w:sz w:val="24"/>
    </w:rPr>
  </w:style>
  <w:style w:type="paragraph" w:styleId="Heading2">
    <w:name w:val="heading 2"/>
    <w:basedOn w:val="Normal"/>
    <w:next w:val="Normal"/>
    <w:qFormat/>
    <w:rsid w:val="007D081D"/>
    <w:pPr>
      <w:keepNext/>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81D"/>
    <w:pPr>
      <w:jc w:val="both"/>
    </w:pPr>
    <w:rPr>
      <w:rFonts w:ascii="Arial" w:hAnsi="Arial"/>
      <w:sz w:val="24"/>
    </w:rPr>
  </w:style>
  <w:style w:type="paragraph" w:customStyle="1" w:styleId="Style1">
    <w:name w:val="Style1"/>
    <w:basedOn w:val="Normal"/>
    <w:next w:val="Normal"/>
    <w:rsid w:val="007D081D"/>
    <w:pPr>
      <w:widowControl w:val="0"/>
      <w:spacing w:line="360" w:lineRule="auto"/>
      <w:jc w:val="both"/>
    </w:pPr>
    <w:rPr>
      <w:rFonts w:ascii="Arial" w:hAnsi="Arial"/>
      <w:sz w:val="24"/>
    </w:rPr>
  </w:style>
  <w:style w:type="paragraph" w:styleId="BalloonText">
    <w:name w:val="Balloon Text"/>
    <w:basedOn w:val="Normal"/>
    <w:semiHidden/>
    <w:rsid w:val="007D081D"/>
    <w:rPr>
      <w:rFonts w:ascii="Tahoma" w:hAnsi="Tahoma" w:cs="Tahoma"/>
      <w:sz w:val="16"/>
      <w:szCs w:val="16"/>
    </w:rPr>
  </w:style>
  <w:style w:type="paragraph" w:styleId="Header">
    <w:name w:val="header"/>
    <w:basedOn w:val="Normal"/>
    <w:rsid w:val="00AD70CF"/>
    <w:pPr>
      <w:tabs>
        <w:tab w:val="center" w:pos="4320"/>
        <w:tab w:val="right" w:pos="8640"/>
      </w:tabs>
    </w:pPr>
  </w:style>
  <w:style w:type="paragraph" w:styleId="Footer">
    <w:name w:val="footer"/>
    <w:basedOn w:val="Normal"/>
    <w:rsid w:val="00AD70CF"/>
    <w:pPr>
      <w:tabs>
        <w:tab w:val="center" w:pos="4320"/>
        <w:tab w:val="right" w:pos="8640"/>
      </w:tabs>
    </w:pPr>
  </w:style>
  <w:style w:type="character" w:styleId="PageNumber">
    <w:name w:val="page number"/>
    <w:basedOn w:val="DefaultParagraphFont"/>
    <w:rsid w:val="00AD70CF"/>
  </w:style>
  <w:style w:type="paragraph" w:styleId="ListParagraph">
    <w:name w:val="List Paragraph"/>
    <w:basedOn w:val="Normal"/>
    <w:uiPriority w:val="34"/>
    <w:qFormat/>
    <w:rsid w:val="00CD50D9"/>
    <w:pPr>
      <w:ind w:left="720"/>
    </w:pPr>
  </w:style>
  <w:style w:type="paragraph" w:styleId="PlainText">
    <w:name w:val="Plain Text"/>
    <w:basedOn w:val="Normal"/>
    <w:link w:val="PlainTextChar"/>
    <w:uiPriority w:val="99"/>
    <w:unhideWhenUsed/>
    <w:rsid w:val="00CD46C1"/>
    <w:rPr>
      <w:rFonts w:ascii="Calibri" w:eastAsia="Calibri" w:hAnsi="Calibri"/>
      <w:sz w:val="22"/>
      <w:szCs w:val="22"/>
      <w:lang w:val="x-none" w:eastAsia="x-none"/>
    </w:rPr>
  </w:style>
  <w:style w:type="character" w:customStyle="1" w:styleId="PlainTextChar">
    <w:name w:val="Plain Text Char"/>
    <w:link w:val="PlainText"/>
    <w:uiPriority w:val="99"/>
    <w:rsid w:val="00CD46C1"/>
    <w:rPr>
      <w:rFonts w:ascii="Calibri" w:eastAsia="Calibri" w:hAnsi="Calibri" w:cs="Calibri"/>
      <w:sz w:val="22"/>
      <w:szCs w:val="22"/>
    </w:rPr>
  </w:style>
  <w:style w:type="paragraph" w:styleId="NormalWeb">
    <w:name w:val="Normal (Web)"/>
    <w:basedOn w:val="Normal"/>
    <w:uiPriority w:val="99"/>
    <w:unhideWhenUsed/>
    <w:rsid w:val="00BE285B"/>
    <w:pPr>
      <w:spacing w:before="100" w:beforeAutospacing="1" w:after="100" w:afterAutospacing="1"/>
    </w:pPr>
    <w:rPr>
      <w:rFonts w:eastAsia="Times New Roman"/>
      <w:sz w:val="24"/>
      <w:szCs w:val="24"/>
      <w:lang w:eastAsia="es-PR"/>
    </w:rPr>
  </w:style>
  <w:style w:type="character" w:styleId="CommentReference">
    <w:name w:val="annotation reference"/>
    <w:basedOn w:val="DefaultParagraphFont"/>
    <w:semiHidden/>
    <w:unhideWhenUsed/>
    <w:rsid w:val="003E3AFA"/>
    <w:rPr>
      <w:sz w:val="16"/>
      <w:szCs w:val="16"/>
    </w:rPr>
  </w:style>
  <w:style w:type="paragraph" w:styleId="CommentText">
    <w:name w:val="annotation text"/>
    <w:basedOn w:val="Normal"/>
    <w:link w:val="CommentTextChar"/>
    <w:semiHidden/>
    <w:unhideWhenUsed/>
    <w:rsid w:val="003E3AFA"/>
  </w:style>
  <w:style w:type="character" w:customStyle="1" w:styleId="CommentTextChar">
    <w:name w:val="Comment Text Char"/>
    <w:basedOn w:val="DefaultParagraphFont"/>
    <w:link w:val="CommentText"/>
    <w:semiHidden/>
    <w:rsid w:val="003E3AFA"/>
    <w:rPr>
      <w:lang w:eastAsia="en-US"/>
    </w:rPr>
  </w:style>
  <w:style w:type="paragraph" w:styleId="CommentSubject">
    <w:name w:val="annotation subject"/>
    <w:basedOn w:val="CommentText"/>
    <w:next w:val="CommentText"/>
    <w:link w:val="CommentSubjectChar"/>
    <w:semiHidden/>
    <w:unhideWhenUsed/>
    <w:rsid w:val="003E3AFA"/>
    <w:rPr>
      <w:b/>
      <w:bCs/>
    </w:rPr>
  </w:style>
  <w:style w:type="character" w:customStyle="1" w:styleId="CommentSubjectChar">
    <w:name w:val="Comment Subject Char"/>
    <w:basedOn w:val="CommentTextChar"/>
    <w:link w:val="CommentSubject"/>
    <w:semiHidden/>
    <w:rsid w:val="003E3AFA"/>
    <w:rPr>
      <w:b/>
      <w:bCs/>
      <w:lang w:eastAsia="en-US"/>
    </w:rPr>
  </w:style>
  <w:style w:type="paragraph" w:styleId="Revision">
    <w:name w:val="Revision"/>
    <w:hidden/>
    <w:uiPriority w:val="99"/>
    <w:semiHidden/>
    <w:rsid w:val="00C5609E"/>
    <w:rPr>
      <w:lang w:eastAsia="en-US"/>
    </w:rPr>
  </w:style>
  <w:style w:type="paragraph" w:customStyle="1" w:styleId="s3">
    <w:name w:val="s3"/>
    <w:basedOn w:val="Normal"/>
    <w:rsid w:val="00A70946"/>
    <w:pPr>
      <w:spacing w:before="100" w:beforeAutospacing="1" w:after="100" w:afterAutospacing="1"/>
    </w:pPr>
    <w:rPr>
      <w:rFonts w:eastAsiaTheme="minorHAnsi"/>
      <w:sz w:val="24"/>
      <w:szCs w:val="24"/>
      <w:lang w:eastAsia="es-PR"/>
    </w:rPr>
  </w:style>
  <w:style w:type="character" w:customStyle="1" w:styleId="bumpedfont15">
    <w:name w:val="bumpedfont15"/>
    <w:basedOn w:val="DefaultParagraphFont"/>
    <w:rsid w:val="00A70946"/>
  </w:style>
  <w:style w:type="table" w:styleId="TableGrid">
    <w:name w:val="Table Grid"/>
    <w:basedOn w:val="TableNormal"/>
    <w:uiPriority w:val="59"/>
    <w:rsid w:val="00EC722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PR" w:eastAsia="es-P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1D"/>
    <w:rPr>
      <w:lang w:eastAsia="en-US"/>
    </w:rPr>
  </w:style>
  <w:style w:type="paragraph" w:styleId="Heading1">
    <w:name w:val="heading 1"/>
    <w:basedOn w:val="Normal"/>
    <w:next w:val="Normal"/>
    <w:qFormat/>
    <w:rsid w:val="007D081D"/>
    <w:pPr>
      <w:keepNext/>
      <w:outlineLvl w:val="0"/>
    </w:pPr>
    <w:rPr>
      <w:rFonts w:ascii="Arial" w:hAnsi="Arial"/>
      <w:sz w:val="24"/>
    </w:rPr>
  </w:style>
  <w:style w:type="paragraph" w:styleId="Heading2">
    <w:name w:val="heading 2"/>
    <w:basedOn w:val="Normal"/>
    <w:next w:val="Normal"/>
    <w:qFormat/>
    <w:rsid w:val="007D081D"/>
    <w:pPr>
      <w:keepNext/>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81D"/>
    <w:pPr>
      <w:jc w:val="both"/>
    </w:pPr>
    <w:rPr>
      <w:rFonts w:ascii="Arial" w:hAnsi="Arial"/>
      <w:sz w:val="24"/>
    </w:rPr>
  </w:style>
  <w:style w:type="paragraph" w:customStyle="1" w:styleId="Style1">
    <w:name w:val="Style1"/>
    <w:basedOn w:val="Normal"/>
    <w:next w:val="Normal"/>
    <w:rsid w:val="007D081D"/>
    <w:pPr>
      <w:widowControl w:val="0"/>
      <w:spacing w:line="360" w:lineRule="auto"/>
      <w:jc w:val="both"/>
    </w:pPr>
    <w:rPr>
      <w:rFonts w:ascii="Arial" w:hAnsi="Arial"/>
      <w:sz w:val="24"/>
    </w:rPr>
  </w:style>
  <w:style w:type="paragraph" w:styleId="BalloonText">
    <w:name w:val="Balloon Text"/>
    <w:basedOn w:val="Normal"/>
    <w:semiHidden/>
    <w:rsid w:val="007D081D"/>
    <w:rPr>
      <w:rFonts w:ascii="Tahoma" w:hAnsi="Tahoma" w:cs="Tahoma"/>
      <w:sz w:val="16"/>
      <w:szCs w:val="16"/>
    </w:rPr>
  </w:style>
  <w:style w:type="paragraph" w:styleId="Header">
    <w:name w:val="header"/>
    <w:basedOn w:val="Normal"/>
    <w:rsid w:val="00AD70CF"/>
    <w:pPr>
      <w:tabs>
        <w:tab w:val="center" w:pos="4320"/>
        <w:tab w:val="right" w:pos="8640"/>
      </w:tabs>
    </w:pPr>
  </w:style>
  <w:style w:type="paragraph" w:styleId="Footer">
    <w:name w:val="footer"/>
    <w:basedOn w:val="Normal"/>
    <w:rsid w:val="00AD70CF"/>
    <w:pPr>
      <w:tabs>
        <w:tab w:val="center" w:pos="4320"/>
        <w:tab w:val="right" w:pos="8640"/>
      </w:tabs>
    </w:pPr>
  </w:style>
  <w:style w:type="character" w:styleId="PageNumber">
    <w:name w:val="page number"/>
    <w:basedOn w:val="DefaultParagraphFont"/>
    <w:rsid w:val="00AD70CF"/>
  </w:style>
  <w:style w:type="paragraph" w:styleId="ListParagraph">
    <w:name w:val="List Paragraph"/>
    <w:basedOn w:val="Normal"/>
    <w:uiPriority w:val="34"/>
    <w:qFormat/>
    <w:rsid w:val="00CD50D9"/>
    <w:pPr>
      <w:ind w:left="720"/>
    </w:pPr>
  </w:style>
  <w:style w:type="paragraph" w:styleId="PlainText">
    <w:name w:val="Plain Text"/>
    <w:basedOn w:val="Normal"/>
    <w:link w:val="PlainTextChar"/>
    <w:uiPriority w:val="99"/>
    <w:unhideWhenUsed/>
    <w:rsid w:val="00CD46C1"/>
    <w:rPr>
      <w:rFonts w:ascii="Calibri" w:eastAsia="Calibri" w:hAnsi="Calibri"/>
      <w:sz w:val="22"/>
      <w:szCs w:val="22"/>
      <w:lang w:val="x-none" w:eastAsia="x-none"/>
    </w:rPr>
  </w:style>
  <w:style w:type="character" w:customStyle="1" w:styleId="PlainTextChar">
    <w:name w:val="Plain Text Char"/>
    <w:link w:val="PlainText"/>
    <w:uiPriority w:val="99"/>
    <w:rsid w:val="00CD46C1"/>
    <w:rPr>
      <w:rFonts w:ascii="Calibri" w:eastAsia="Calibri" w:hAnsi="Calibri" w:cs="Calibri"/>
      <w:sz w:val="22"/>
      <w:szCs w:val="22"/>
    </w:rPr>
  </w:style>
  <w:style w:type="paragraph" w:styleId="NormalWeb">
    <w:name w:val="Normal (Web)"/>
    <w:basedOn w:val="Normal"/>
    <w:uiPriority w:val="99"/>
    <w:unhideWhenUsed/>
    <w:rsid w:val="00BE285B"/>
    <w:pPr>
      <w:spacing w:before="100" w:beforeAutospacing="1" w:after="100" w:afterAutospacing="1"/>
    </w:pPr>
    <w:rPr>
      <w:rFonts w:eastAsia="Times New Roman"/>
      <w:sz w:val="24"/>
      <w:szCs w:val="24"/>
      <w:lang w:eastAsia="es-PR"/>
    </w:rPr>
  </w:style>
  <w:style w:type="character" w:styleId="CommentReference">
    <w:name w:val="annotation reference"/>
    <w:basedOn w:val="DefaultParagraphFont"/>
    <w:semiHidden/>
    <w:unhideWhenUsed/>
    <w:rsid w:val="003E3AFA"/>
    <w:rPr>
      <w:sz w:val="16"/>
      <w:szCs w:val="16"/>
    </w:rPr>
  </w:style>
  <w:style w:type="paragraph" w:styleId="CommentText">
    <w:name w:val="annotation text"/>
    <w:basedOn w:val="Normal"/>
    <w:link w:val="CommentTextChar"/>
    <w:semiHidden/>
    <w:unhideWhenUsed/>
    <w:rsid w:val="003E3AFA"/>
  </w:style>
  <w:style w:type="character" w:customStyle="1" w:styleId="CommentTextChar">
    <w:name w:val="Comment Text Char"/>
    <w:basedOn w:val="DefaultParagraphFont"/>
    <w:link w:val="CommentText"/>
    <w:semiHidden/>
    <w:rsid w:val="003E3AFA"/>
    <w:rPr>
      <w:lang w:eastAsia="en-US"/>
    </w:rPr>
  </w:style>
  <w:style w:type="paragraph" w:styleId="CommentSubject">
    <w:name w:val="annotation subject"/>
    <w:basedOn w:val="CommentText"/>
    <w:next w:val="CommentText"/>
    <w:link w:val="CommentSubjectChar"/>
    <w:semiHidden/>
    <w:unhideWhenUsed/>
    <w:rsid w:val="003E3AFA"/>
    <w:rPr>
      <w:b/>
      <w:bCs/>
    </w:rPr>
  </w:style>
  <w:style w:type="character" w:customStyle="1" w:styleId="CommentSubjectChar">
    <w:name w:val="Comment Subject Char"/>
    <w:basedOn w:val="CommentTextChar"/>
    <w:link w:val="CommentSubject"/>
    <w:semiHidden/>
    <w:rsid w:val="003E3AFA"/>
    <w:rPr>
      <w:b/>
      <w:bCs/>
      <w:lang w:eastAsia="en-US"/>
    </w:rPr>
  </w:style>
  <w:style w:type="paragraph" w:styleId="Revision">
    <w:name w:val="Revision"/>
    <w:hidden/>
    <w:uiPriority w:val="99"/>
    <w:semiHidden/>
    <w:rsid w:val="00C5609E"/>
    <w:rPr>
      <w:lang w:eastAsia="en-US"/>
    </w:rPr>
  </w:style>
  <w:style w:type="paragraph" w:customStyle="1" w:styleId="s3">
    <w:name w:val="s3"/>
    <w:basedOn w:val="Normal"/>
    <w:rsid w:val="00A70946"/>
    <w:pPr>
      <w:spacing w:before="100" w:beforeAutospacing="1" w:after="100" w:afterAutospacing="1"/>
    </w:pPr>
    <w:rPr>
      <w:rFonts w:eastAsiaTheme="minorHAnsi"/>
      <w:sz w:val="24"/>
      <w:szCs w:val="24"/>
      <w:lang w:eastAsia="es-PR"/>
    </w:rPr>
  </w:style>
  <w:style w:type="character" w:customStyle="1" w:styleId="bumpedfont15">
    <w:name w:val="bumpedfont15"/>
    <w:basedOn w:val="DefaultParagraphFont"/>
    <w:rsid w:val="00A70946"/>
  </w:style>
  <w:style w:type="table" w:styleId="TableGrid">
    <w:name w:val="Table Grid"/>
    <w:basedOn w:val="TableNormal"/>
    <w:uiPriority w:val="59"/>
    <w:rsid w:val="00EC722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322">
      <w:bodyDiv w:val="1"/>
      <w:marLeft w:val="0"/>
      <w:marRight w:val="0"/>
      <w:marTop w:val="0"/>
      <w:marBottom w:val="0"/>
      <w:divBdr>
        <w:top w:val="none" w:sz="0" w:space="0" w:color="auto"/>
        <w:left w:val="none" w:sz="0" w:space="0" w:color="auto"/>
        <w:bottom w:val="none" w:sz="0" w:space="0" w:color="auto"/>
        <w:right w:val="none" w:sz="0" w:space="0" w:color="auto"/>
      </w:divBdr>
    </w:div>
    <w:div w:id="82144248">
      <w:bodyDiv w:val="1"/>
      <w:marLeft w:val="0"/>
      <w:marRight w:val="0"/>
      <w:marTop w:val="0"/>
      <w:marBottom w:val="0"/>
      <w:divBdr>
        <w:top w:val="none" w:sz="0" w:space="0" w:color="auto"/>
        <w:left w:val="none" w:sz="0" w:space="0" w:color="auto"/>
        <w:bottom w:val="none" w:sz="0" w:space="0" w:color="auto"/>
        <w:right w:val="none" w:sz="0" w:space="0" w:color="auto"/>
      </w:divBdr>
    </w:div>
    <w:div w:id="110129871">
      <w:bodyDiv w:val="1"/>
      <w:marLeft w:val="0"/>
      <w:marRight w:val="0"/>
      <w:marTop w:val="0"/>
      <w:marBottom w:val="0"/>
      <w:divBdr>
        <w:top w:val="none" w:sz="0" w:space="0" w:color="auto"/>
        <w:left w:val="none" w:sz="0" w:space="0" w:color="auto"/>
        <w:bottom w:val="none" w:sz="0" w:space="0" w:color="auto"/>
        <w:right w:val="none" w:sz="0" w:space="0" w:color="auto"/>
      </w:divBdr>
    </w:div>
    <w:div w:id="162280230">
      <w:bodyDiv w:val="1"/>
      <w:marLeft w:val="0"/>
      <w:marRight w:val="0"/>
      <w:marTop w:val="0"/>
      <w:marBottom w:val="0"/>
      <w:divBdr>
        <w:top w:val="none" w:sz="0" w:space="0" w:color="auto"/>
        <w:left w:val="none" w:sz="0" w:space="0" w:color="auto"/>
        <w:bottom w:val="none" w:sz="0" w:space="0" w:color="auto"/>
        <w:right w:val="none" w:sz="0" w:space="0" w:color="auto"/>
      </w:divBdr>
    </w:div>
    <w:div w:id="185143407">
      <w:bodyDiv w:val="1"/>
      <w:marLeft w:val="0"/>
      <w:marRight w:val="0"/>
      <w:marTop w:val="0"/>
      <w:marBottom w:val="0"/>
      <w:divBdr>
        <w:top w:val="none" w:sz="0" w:space="0" w:color="auto"/>
        <w:left w:val="none" w:sz="0" w:space="0" w:color="auto"/>
        <w:bottom w:val="none" w:sz="0" w:space="0" w:color="auto"/>
        <w:right w:val="none" w:sz="0" w:space="0" w:color="auto"/>
      </w:divBdr>
    </w:div>
    <w:div w:id="199900937">
      <w:bodyDiv w:val="1"/>
      <w:marLeft w:val="0"/>
      <w:marRight w:val="0"/>
      <w:marTop w:val="0"/>
      <w:marBottom w:val="0"/>
      <w:divBdr>
        <w:top w:val="none" w:sz="0" w:space="0" w:color="auto"/>
        <w:left w:val="none" w:sz="0" w:space="0" w:color="auto"/>
        <w:bottom w:val="none" w:sz="0" w:space="0" w:color="auto"/>
        <w:right w:val="none" w:sz="0" w:space="0" w:color="auto"/>
      </w:divBdr>
    </w:div>
    <w:div w:id="434709949">
      <w:bodyDiv w:val="1"/>
      <w:marLeft w:val="0"/>
      <w:marRight w:val="0"/>
      <w:marTop w:val="0"/>
      <w:marBottom w:val="0"/>
      <w:divBdr>
        <w:top w:val="none" w:sz="0" w:space="0" w:color="auto"/>
        <w:left w:val="none" w:sz="0" w:space="0" w:color="auto"/>
        <w:bottom w:val="none" w:sz="0" w:space="0" w:color="auto"/>
        <w:right w:val="none" w:sz="0" w:space="0" w:color="auto"/>
      </w:divBdr>
    </w:div>
    <w:div w:id="586769285">
      <w:bodyDiv w:val="1"/>
      <w:marLeft w:val="0"/>
      <w:marRight w:val="0"/>
      <w:marTop w:val="0"/>
      <w:marBottom w:val="0"/>
      <w:divBdr>
        <w:top w:val="none" w:sz="0" w:space="0" w:color="auto"/>
        <w:left w:val="none" w:sz="0" w:space="0" w:color="auto"/>
        <w:bottom w:val="none" w:sz="0" w:space="0" w:color="auto"/>
        <w:right w:val="none" w:sz="0" w:space="0" w:color="auto"/>
      </w:divBdr>
    </w:div>
    <w:div w:id="604922108">
      <w:bodyDiv w:val="1"/>
      <w:marLeft w:val="0"/>
      <w:marRight w:val="0"/>
      <w:marTop w:val="0"/>
      <w:marBottom w:val="0"/>
      <w:divBdr>
        <w:top w:val="none" w:sz="0" w:space="0" w:color="auto"/>
        <w:left w:val="none" w:sz="0" w:space="0" w:color="auto"/>
        <w:bottom w:val="none" w:sz="0" w:space="0" w:color="auto"/>
        <w:right w:val="none" w:sz="0" w:space="0" w:color="auto"/>
      </w:divBdr>
    </w:div>
    <w:div w:id="846142505">
      <w:bodyDiv w:val="1"/>
      <w:marLeft w:val="0"/>
      <w:marRight w:val="0"/>
      <w:marTop w:val="0"/>
      <w:marBottom w:val="0"/>
      <w:divBdr>
        <w:top w:val="none" w:sz="0" w:space="0" w:color="auto"/>
        <w:left w:val="none" w:sz="0" w:space="0" w:color="auto"/>
        <w:bottom w:val="none" w:sz="0" w:space="0" w:color="auto"/>
        <w:right w:val="none" w:sz="0" w:space="0" w:color="auto"/>
      </w:divBdr>
    </w:div>
    <w:div w:id="929389731">
      <w:bodyDiv w:val="1"/>
      <w:marLeft w:val="0"/>
      <w:marRight w:val="0"/>
      <w:marTop w:val="0"/>
      <w:marBottom w:val="0"/>
      <w:divBdr>
        <w:top w:val="none" w:sz="0" w:space="0" w:color="auto"/>
        <w:left w:val="none" w:sz="0" w:space="0" w:color="auto"/>
        <w:bottom w:val="none" w:sz="0" w:space="0" w:color="auto"/>
        <w:right w:val="none" w:sz="0" w:space="0" w:color="auto"/>
      </w:divBdr>
    </w:div>
    <w:div w:id="941959622">
      <w:bodyDiv w:val="1"/>
      <w:marLeft w:val="0"/>
      <w:marRight w:val="0"/>
      <w:marTop w:val="0"/>
      <w:marBottom w:val="0"/>
      <w:divBdr>
        <w:top w:val="none" w:sz="0" w:space="0" w:color="auto"/>
        <w:left w:val="none" w:sz="0" w:space="0" w:color="auto"/>
        <w:bottom w:val="none" w:sz="0" w:space="0" w:color="auto"/>
        <w:right w:val="none" w:sz="0" w:space="0" w:color="auto"/>
      </w:divBdr>
    </w:div>
    <w:div w:id="1166822375">
      <w:bodyDiv w:val="1"/>
      <w:marLeft w:val="0"/>
      <w:marRight w:val="0"/>
      <w:marTop w:val="0"/>
      <w:marBottom w:val="0"/>
      <w:divBdr>
        <w:top w:val="none" w:sz="0" w:space="0" w:color="auto"/>
        <w:left w:val="none" w:sz="0" w:space="0" w:color="auto"/>
        <w:bottom w:val="none" w:sz="0" w:space="0" w:color="auto"/>
        <w:right w:val="none" w:sz="0" w:space="0" w:color="auto"/>
      </w:divBdr>
    </w:div>
    <w:div w:id="1199125053">
      <w:bodyDiv w:val="1"/>
      <w:marLeft w:val="0"/>
      <w:marRight w:val="0"/>
      <w:marTop w:val="0"/>
      <w:marBottom w:val="0"/>
      <w:divBdr>
        <w:top w:val="none" w:sz="0" w:space="0" w:color="auto"/>
        <w:left w:val="none" w:sz="0" w:space="0" w:color="auto"/>
        <w:bottom w:val="none" w:sz="0" w:space="0" w:color="auto"/>
        <w:right w:val="none" w:sz="0" w:space="0" w:color="auto"/>
      </w:divBdr>
    </w:div>
    <w:div w:id="1237933328">
      <w:bodyDiv w:val="1"/>
      <w:marLeft w:val="0"/>
      <w:marRight w:val="0"/>
      <w:marTop w:val="0"/>
      <w:marBottom w:val="0"/>
      <w:divBdr>
        <w:top w:val="none" w:sz="0" w:space="0" w:color="auto"/>
        <w:left w:val="none" w:sz="0" w:space="0" w:color="auto"/>
        <w:bottom w:val="none" w:sz="0" w:space="0" w:color="auto"/>
        <w:right w:val="none" w:sz="0" w:space="0" w:color="auto"/>
      </w:divBdr>
    </w:div>
    <w:div w:id="1245265463">
      <w:bodyDiv w:val="1"/>
      <w:marLeft w:val="0"/>
      <w:marRight w:val="0"/>
      <w:marTop w:val="0"/>
      <w:marBottom w:val="0"/>
      <w:divBdr>
        <w:top w:val="none" w:sz="0" w:space="0" w:color="auto"/>
        <w:left w:val="none" w:sz="0" w:space="0" w:color="auto"/>
        <w:bottom w:val="none" w:sz="0" w:space="0" w:color="auto"/>
        <w:right w:val="none" w:sz="0" w:space="0" w:color="auto"/>
      </w:divBdr>
    </w:div>
    <w:div w:id="1367365825">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29414938">
      <w:bodyDiv w:val="1"/>
      <w:marLeft w:val="0"/>
      <w:marRight w:val="0"/>
      <w:marTop w:val="0"/>
      <w:marBottom w:val="0"/>
      <w:divBdr>
        <w:top w:val="none" w:sz="0" w:space="0" w:color="auto"/>
        <w:left w:val="none" w:sz="0" w:space="0" w:color="auto"/>
        <w:bottom w:val="none" w:sz="0" w:space="0" w:color="auto"/>
        <w:right w:val="none" w:sz="0" w:space="0" w:color="auto"/>
      </w:divBdr>
    </w:div>
    <w:div w:id="1550723038">
      <w:bodyDiv w:val="1"/>
      <w:marLeft w:val="0"/>
      <w:marRight w:val="0"/>
      <w:marTop w:val="0"/>
      <w:marBottom w:val="0"/>
      <w:divBdr>
        <w:top w:val="none" w:sz="0" w:space="0" w:color="auto"/>
        <w:left w:val="none" w:sz="0" w:space="0" w:color="auto"/>
        <w:bottom w:val="none" w:sz="0" w:space="0" w:color="auto"/>
        <w:right w:val="none" w:sz="0" w:space="0" w:color="auto"/>
      </w:divBdr>
    </w:div>
    <w:div w:id="1785230316">
      <w:bodyDiv w:val="1"/>
      <w:marLeft w:val="0"/>
      <w:marRight w:val="0"/>
      <w:marTop w:val="0"/>
      <w:marBottom w:val="0"/>
      <w:divBdr>
        <w:top w:val="none" w:sz="0" w:space="0" w:color="auto"/>
        <w:left w:val="none" w:sz="0" w:space="0" w:color="auto"/>
        <w:bottom w:val="none" w:sz="0" w:space="0" w:color="auto"/>
        <w:right w:val="none" w:sz="0" w:space="0" w:color="auto"/>
      </w:divBdr>
    </w:div>
    <w:div w:id="1992782980">
      <w:bodyDiv w:val="1"/>
      <w:marLeft w:val="0"/>
      <w:marRight w:val="0"/>
      <w:marTop w:val="0"/>
      <w:marBottom w:val="0"/>
      <w:divBdr>
        <w:top w:val="none" w:sz="0" w:space="0" w:color="auto"/>
        <w:left w:val="none" w:sz="0" w:space="0" w:color="auto"/>
        <w:bottom w:val="none" w:sz="0" w:space="0" w:color="auto"/>
        <w:right w:val="none" w:sz="0" w:space="0" w:color="auto"/>
      </w:divBdr>
    </w:div>
    <w:div w:id="20433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10\AppData\Local\Microsoft\Windows\Temporary%20Internet%20Files\Content.Outlook\M002G6F4\Gr&#225;fica%20Prestamos%20Cerrados%20al%2030%20de%20junio%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Préstamos Cerrados</a:t>
            </a:r>
          </a:p>
        </c:rich>
      </c:tx>
      <c:layout>
        <c:manualLayout>
          <c:xMode val="edge"/>
          <c:yMode val="edge"/>
          <c:x val="0.29204079869763117"/>
          <c:y val="5.5555752160193456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306540088658583E-2"/>
          <c:y val="0.54230714167722038"/>
          <c:w val="0.79959327706144701"/>
          <c:h val="0.45701741827726078"/>
        </c:manualLayout>
      </c:layout>
      <c:pie3DChart>
        <c:varyColors val="1"/>
        <c:ser>
          <c:idx val="0"/>
          <c:order val="0"/>
          <c:dLbls>
            <c:dLbl>
              <c:idx val="4"/>
              <c:layout>
                <c:manualLayout>
                  <c:x val="-9.0048556430446194E-2"/>
                  <c:y val="5.192986293379994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Sheet1!$B$4:$B$8</c:f>
              <c:strCache>
                <c:ptCount val="5"/>
                <c:pt idx="0">
                  <c:v>Agrícola</c:v>
                </c:pt>
                <c:pt idx="1">
                  <c:v>Comercio</c:v>
                </c:pt>
                <c:pt idx="2">
                  <c:v>Manufactura</c:v>
                </c:pt>
                <c:pt idx="3">
                  <c:v>Servicio</c:v>
                </c:pt>
                <c:pt idx="4">
                  <c:v>Turismo</c:v>
                </c:pt>
              </c:strCache>
            </c:strRef>
          </c:cat>
          <c:val>
            <c:numRef>
              <c:f>Sheet1!$C$4:$C$8</c:f>
              <c:numCache>
                <c:formatCode>0%</c:formatCode>
                <c:ptCount val="5"/>
                <c:pt idx="0">
                  <c:v>0.18</c:v>
                </c:pt>
                <c:pt idx="1">
                  <c:v>0.28999999999999998</c:v>
                </c:pt>
                <c:pt idx="2">
                  <c:v>0.08</c:v>
                </c:pt>
                <c:pt idx="3">
                  <c:v>0.43</c:v>
                </c:pt>
                <c:pt idx="4">
                  <c:v>0.02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cene3d>
      <a:camera prst="orthographicFront"/>
      <a:lightRig rig="threePt" dir="t"/>
    </a:scene3d>
    <a:sp3d>
      <a:bevelT prst="relaxedInset"/>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573C35500154698497A0794A15A50" ma:contentTypeVersion="0" ma:contentTypeDescription="Create a new document." ma:contentTypeScope="" ma:versionID="badeadc154013f27fd9d8eadba60466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20672-41D5-4967-923A-63B52079ADFF}"/>
</file>

<file path=customXml/itemProps2.xml><?xml version="1.0" encoding="utf-8"?>
<ds:datastoreItem xmlns:ds="http://schemas.openxmlformats.org/officeDocument/2006/customXml" ds:itemID="{A4318D7E-0B1E-4548-A82F-42B9A31EDA17}"/>
</file>

<file path=customXml/itemProps3.xml><?xml version="1.0" encoding="utf-8"?>
<ds:datastoreItem xmlns:ds="http://schemas.openxmlformats.org/officeDocument/2006/customXml" ds:itemID="{AC21CB53-E2A3-42BE-89DC-7909C696AF17}"/>
</file>

<file path=customXml/itemProps4.xml><?xml version="1.0" encoding="utf-8"?>
<ds:datastoreItem xmlns:ds="http://schemas.openxmlformats.org/officeDocument/2006/customXml" ds:itemID="{4D237F1F-2DEB-440C-ACF1-706D0F6858D8}"/>
</file>

<file path=docProps/app.xml><?xml version="1.0" encoding="utf-8"?>
<Properties xmlns="http://schemas.openxmlformats.org/officeDocument/2006/extended-properties" xmlns:vt="http://schemas.openxmlformats.org/officeDocument/2006/docPropsVTypes">
  <Template>Normal.dotm</Template>
  <TotalTime>15</TotalTime>
  <Pages>5</Pages>
  <Words>1323</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16 de abril de 2004</vt:lpstr>
    </vt:vector>
  </TitlesOfParts>
  <Company>Estado Libre Asociado de PR</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 abril de 2004</dc:title>
  <dc:creator>Banco de Desarrollo Economico para PR</dc:creator>
  <cp:lastModifiedBy>S.Carlo</cp:lastModifiedBy>
  <cp:revision>4</cp:revision>
  <cp:lastPrinted>2016-09-30T17:09:00Z</cp:lastPrinted>
  <dcterms:created xsi:type="dcterms:W3CDTF">2016-09-30T18:59:00Z</dcterms:created>
  <dcterms:modified xsi:type="dcterms:W3CDTF">2016-10-12T20:40:00Z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0x0101000E2573C35500154698497A0794A15A50</vt:lpwstr>
  </property>
</Properties>
</file>